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20"/>
        <w:jc w:val="center"/>
      </w:pPr>
      <w:r>
        <w:drawing>
          <wp:inline xmlns:a="http://schemas.openxmlformats.org/drawingml/2006/main" xmlns:pic="http://schemas.openxmlformats.org/drawingml/2006/picture">
            <wp:extent cx="2468880" cy="822960"/>
            <wp:docPr id="1" name="Picture 1"/>
            <wp:cNvGraphicFramePr>
              <a:graphicFrameLocks noChangeAspect="1"/>
            </wp:cNvGraphicFramePr>
            <a:graphic>
              <a:graphicData uri="http://schemas.openxmlformats.org/drawingml/2006/picture">
                <pic:pic>
                  <pic:nvPicPr>
                    <pic:cNvPr id="0" name="tuzhi-logo-transparent.png"/>
                    <pic:cNvPicPr/>
                  </pic:nvPicPr>
                  <pic:blipFill>
                    <a:blip r:embed="rId11"/>
                    <a:stretch>
                      <a:fillRect/>
                    </a:stretch>
                  </pic:blipFill>
                  <pic:spPr>
                    <a:xfrm>
                      <a:off x="0" y="0"/>
                      <a:ext cx="2468880" cy="822960"/>
                    </a:xfrm>
                    <a:prstGeom prst="rect"/>
                  </pic:spPr>
                </pic:pic>
              </a:graphicData>
            </a:graphic>
          </wp:inline>
        </w:drawing>
      </w:r>
    </w:p>
    <w:p>
      <w:pPr>
        <w:spacing w:after="140"/>
        <w:jc w:val="center"/>
      </w:pPr>
      <w:r>
        <w:rPr>
          <w:rFonts w:ascii="Calibri" w:hAnsi="Calibri" w:eastAsia="Microsoft YaHei"/>
          <w:b/>
          <w:i w:val="0"/>
          <w:color w:val="68452B"/>
          <w:sz w:val="24"/>
        </w:rPr>
        <w:t>2024—2025</w:t>
      </w:r>
    </w:p>
    <w:p>
      <w:pPr>
        <w:spacing w:after="160"/>
        <w:jc w:val="center"/>
      </w:pPr>
      <w:r>
        <w:rPr>
          <w:rFonts w:ascii="Calibri" w:hAnsi="Calibri" w:eastAsia="Microsoft YaHei"/>
          <w:b/>
          <w:i w:val="0"/>
          <w:color w:val="173F35"/>
          <w:sz w:val="60"/>
        </w:rPr>
        <w:t>可持续发展报告</w:t>
      </w:r>
    </w:p>
    <w:p>
      <w:pPr>
        <w:spacing w:after="440"/>
        <w:jc w:val="center"/>
      </w:pPr>
      <w:r>
        <w:rPr>
          <w:rFonts w:ascii="Calibri" w:hAnsi="Calibri" w:eastAsia="Microsoft YaHei"/>
          <w:b w:val="0"/>
          <w:i w:val="0"/>
          <w:color w:val="68452B"/>
          <w:sz w:val="25"/>
        </w:rPr>
        <w:t>让日常清洁，少一点负担，多一点温柔</w:t>
      </w:r>
    </w:p>
    <w:tbl>
      <w:tblPr>
        <w:tblW w:type="auto" w:w="0"/>
        <w:jc w:val="center"/>
        <w:tblLayout w:type="fixed"/>
        <w:tblLook w:firstColumn="1" w:firstRow="1" w:lastColumn="0" w:lastRow="0" w:noHBand="0" w:noVBand="1" w:val="04A0"/>
      </w:tblPr>
      <w:tblGrid>
        <w:gridCol w:w="2340"/>
        <w:gridCol w:w="2340"/>
        <w:gridCol w:w="2340"/>
        <w:gridCol w:w="2340"/>
      </w:tblGrid>
      <w:tr>
        <w:tc>
          <w:tcPr>
            <w:tcW w:type="dxa" w:w="2340"/>
            <w:vAlign w:val="center"/>
            <w:shd w:fill="F7F3EB"/>
            <w:tcMar>
              <w:top w:w="180" w:type="dxa"/>
              <w:start w:w="120" w:type="dxa"/>
              <w:bottom w:w="180" w:type="dxa"/>
              <w:end w:w="120" w:type="dxa"/>
            </w:tcMar>
            <w:tcBorders>
              <w:top w:val="single" w:sz="5" w:color="D7D8D2"/>
              <w:left w:val="single" w:sz="5" w:color="D7D8D2"/>
              <w:bottom w:val="single" w:sz="5" w:color="D7D8D2"/>
              <w:right w:val="single" w:sz="5" w:color="D7D8D2"/>
            </w:tcBorders>
          </w:tcPr>
          <w:p>
            <w:pPr>
              <w:spacing w:after="40"/>
              <w:jc w:val="center"/>
            </w:pPr>
            <w:r>
              <w:rPr>
                <w:rFonts w:ascii="Calibri" w:hAnsi="Calibri" w:eastAsia="Microsoft YaHei"/>
                <w:b/>
                <w:i w:val="0"/>
                <w:color w:val="173F35"/>
                <w:sz w:val="34"/>
              </w:rPr>
              <w:t>122 万元</w:t>
            </w:r>
          </w:p>
          <w:p>
            <w:pPr>
              <w:spacing w:after="40"/>
              <w:jc w:val="center"/>
            </w:pPr>
            <w:r>
              <w:rPr>
                <w:rFonts w:ascii="Calibri" w:hAnsi="Calibri" w:eastAsia="Microsoft YaHei"/>
                <w:b/>
                <w:i w:val="0"/>
                <w:color w:val="68452B"/>
                <w:sz w:val="17"/>
              </w:rPr>
              <w:t>营业收入</w:t>
            </w:r>
          </w:p>
          <w:p>
            <w:pPr>
              <w:spacing w:after="0"/>
              <w:jc w:val="center"/>
            </w:pPr>
            <w:r>
              <w:rPr>
                <w:rFonts w:ascii="Calibri" w:hAnsi="Calibri" w:eastAsia="Microsoft YaHei"/>
                <w:b w:val="0"/>
                <w:i w:val="0"/>
                <w:color w:val="66706B"/>
                <w:sz w:val="14"/>
              </w:rPr>
              <w:t>2024—2025 合计</w:t>
            </w:r>
          </w:p>
        </w:tc>
        <w:tc>
          <w:tcPr>
            <w:tcW w:type="dxa" w:w="2340"/>
            <w:vAlign w:val="center"/>
            <w:shd w:fill="E9EFEA"/>
            <w:tcMar>
              <w:top w:w="180" w:type="dxa"/>
              <w:start w:w="120" w:type="dxa"/>
              <w:bottom w:w="180" w:type="dxa"/>
              <w:end w:w="120" w:type="dxa"/>
            </w:tcMar>
            <w:tcBorders>
              <w:top w:val="single" w:sz="5" w:color="D7D8D2"/>
              <w:left w:val="single" w:sz="5" w:color="D7D8D2"/>
              <w:bottom w:val="single" w:sz="5" w:color="D7D8D2"/>
              <w:right w:val="single" w:sz="5" w:color="D7D8D2"/>
            </w:tcBorders>
          </w:tcPr>
          <w:p>
            <w:pPr>
              <w:spacing w:after="40"/>
              <w:jc w:val="center"/>
            </w:pPr>
            <w:r>
              <w:rPr>
                <w:rFonts w:ascii="Calibri" w:hAnsi="Calibri" w:eastAsia="Microsoft YaHei"/>
                <w:b/>
                <w:i w:val="0"/>
                <w:color w:val="173F35"/>
                <w:sz w:val="34"/>
              </w:rPr>
              <w:t>10,000 个</w:t>
            </w:r>
          </w:p>
          <w:p>
            <w:pPr>
              <w:spacing w:after="40"/>
              <w:jc w:val="center"/>
            </w:pPr>
            <w:r>
              <w:rPr>
                <w:rFonts w:ascii="Calibri" w:hAnsi="Calibri" w:eastAsia="Microsoft YaHei"/>
                <w:b/>
                <w:i w:val="0"/>
                <w:color w:val="68452B"/>
                <w:sz w:val="17"/>
              </w:rPr>
              <w:t>瓶装替代当量</w:t>
            </w:r>
          </w:p>
          <w:p>
            <w:pPr>
              <w:spacing w:after="0"/>
              <w:jc w:val="center"/>
            </w:pPr>
            <w:r>
              <w:rPr>
                <w:rFonts w:ascii="Calibri" w:hAnsi="Calibri" w:eastAsia="Microsoft YaHei"/>
                <w:b w:val="0"/>
                <w:i w:val="0"/>
                <w:color w:val="66706B"/>
                <w:sz w:val="14"/>
              </w:rPr>
              <w:t>公司内部估算</w:t>
            </w:r>
          </w:p>
        </w:tc>
        <w:tc>
          <w:tcPr>
            <w:tcW w:type="dxa" w:w="2340"/>
            <w:vAlign w:val="center"/>
            <w:shd w:fill="F7F3EB"/>
            <w:tcMar>
              <w:top w:w="180" w:type="dxa"/>
              <w:start w:w="120" w:type="dxa"/>
              <w:bottom w:w="180" w:type="dxa"/>
              <w:end w:w="120" w:type="dxa"/>
            </w:tcMar>
            <w:tcBorders>
              <w:top w:val="single" w:sz="5" w:color="D7D8D2"/>
              <w:left w:val="single" w:sz="5" w:color="D7D8D2"/>
              <w:bottom w:val="single" w:sz="5" w:color="D7D8D2"/>
              <w:right w:val="single" w:sz="5" w:color="D7D8D2"/>
            </w:tcBorders>
          </w:tcPr>
          <w:p>
            <w:pPr>
              <w:spacing w:after="40"/>
              <w:jc w:val="center"/>
            </w:pPr>
            <w:r>
              <w:rPr>
                <w:rFonts w:ascii="Calibri" w:hAnsi="Calibri" w:eastAsia="Microsoft YaHei"/>
                <w:b/>
                <w:i w:val="0"/>
                <w:color w:val="173F35"/>
                <w:sz w:val="34"/>
              </w:rPr>
              <w:t>95,000 kg</w:t>
            </w:r>
          </w:p>
          <w:p>
            <w:pPr>
              <w:spacing w:after="40"/>
              <w:jc w:val="center"/>
            </w:pPr>
            <w:r>
              <w:rPr>
                <w:rFonts w:ascii="Calibri" w:hAnsi="Calibri" w:eastAsia="Microsoft YaHei"/>
                <w:b/>
                <w:i w:val="0"/>
                <w:color w:val="68452B"/>
                <w:sz w:val="17"/>
              </w:rPr>
              <w:t>少运输的液体质量</w:t>
            </w:r>
          </w:p>
          <w:p>
            <w:pPr>
              <w:spacing w:after="0"/>
              <w:jc w:val="center"/>
            </w:pPr>
            <w:r>
              <w:rPr>
                <w:rFonts w:ascii="Calibri" w:hAnsi="Calibri" w:eastAsia="Microsoft YaHei"/>
                <w:b w:val="0"/>
                <w:i w:val="0"/>
                <w:color w:val="66706B"/>
                <w:sz w:val="14"/>
              </w:rPr>
              <w:t>不是 CO2e</w:t>
            </w:r>
          </w:p>
        </w:tc>
        <w:tc>
          <w:tcPr>
            <w:tcW w:type="dxa" w:w="2340"/>
            <w:vAlign w:val="center"/>
            <w:shd w:fill="E9EFEA"/>
            <w:tcMar>
              <w:top w:w="180" w:type="dxa"/>
              <w:start w:w="120" w:type="dxa"/>
              <w:bottom w:w="180" w:type="dxa"/>
              <w:end w:w="120" w:type="dxa"/>
            </w:tcMar>
            <w:tcBorders>
              <w:top w:val="single" w:sz="5" w:color="D7D8D2"/>
              <w:left w:val="single" w:sz="5" w:color="D7D8D2"/>
              <w:bottom w:val="single" w:sz="5" w:color="D7D8D2"/>
              <w:right w:val="single" w:sz="5" w:color="D7D8D2"/>
            </w:tcBorders>
          </w:tcPr>
          <w:p>
            <w:pPr>
              <w:spacing w:after="40"/>
              <w:jc w:val="center"/>
            </w:pPr>
            <w:r>
              <w:rPr>
                <w:rFonts w:ascii="Calibri" w:hAnsi="Calibri" w:eastAsia="Microsoft YaHei"/>
                <w:b/>
                <w:i w:val="0"/>
                <w:color w:val="173F35"/>
                <w:sz w:val="34"/>
              </w:rPr>
              <w:t>4 人</w:t>
            </w:r>
          </w:p>
          <w:p>
            <w:pPr>
              <w:spacing w:after="40"/>
              <w:jc w:val="center"/>
            </w:pPr>
            <w:r>
              <w:rPr>
                <w:rFonts w:ascii="Calibri" w:hAnsi="Calibri" w:eastAsia="Microsoft YaHei"/>
                <w:b/>
                <w:i w:val="0"/>
                <w:color w:val="68452B"/>
                <w:sz w:val="17"/>
              </w:rPr>
              <w:t>就业准备培训</w:t>
            </w:r>
          </w:p>
          <w:p>
            <w:pPr>
              <w:spacing w:after="0"/>
              <w:jc w:val="center"/>
            </w:pPr>
            <w:r>
              <w:rPr>
                <w:rFonts w:ascii="Calibri" w:hAnsi="Calibri" w:eastAsia="Microsoft YaHei"/>
                <w:b w:val="0"/>
                <w:i w:val="0"/>
                <w:color w:val="66706B"/>
                <w:sz w:val="14"/>
              </w:rPr>
              <w:t>心智障碍青年</w:t>
            </w:r>
          </w:p>
        </w:tc>
      </w:tr>
    </w:tbl>
    <w:p>
      <w:pPr>
        <w:spacing w:after="0"/>
      </w:pPr>
    </w:p>
    <w:p>
      <w:pPr>
        <w:spacing w:before="360" w:after="40"/>
        <w:jc w:val="center"/>
      </w:pPr>
      <w:r>
        <w:rPr>
          <w:rFonts w:ascii="Calibri" w:hAnsi="Calibri" w:eastAsia="Microsoft YaHei"/>
          <w:b/>
          <w:i w:val="0"/>
          <w:color w:val="173F35"/>
          <w:sz w:val="20"/>
        </w:rPr>
        <w:t>GRI 标准参照版</w:t>
      </w:r>
    </w:p>
    <w:p>
      <w:pPr>
        <w:jc w:val="center"/>
      </w:pPr>
      <w:r>
        <w:rPr>
          <w:rFonts w:ascii="Calibri" w:hAnsi="Calibri" w:eastAsia="Microsoft YaHei"/>
          <w:b w:val="0"/>
          <w:i w:val="0"/>
          <w:color w:val="66706B"/>
          <w:sz w:val="17"/>
        </w:rPr>
        <w:t>报告期：2024 年 1 月 1 日—2025 年 12 月 31 日  |  发布：2026 年 9 月</w:t>
      </w:r>
    </w:p>
    <w:p>
      <w:r>
        <w:br w:type="page"/>
      </w:r>
    </w:p>
    <w:p>
      <w:pPr>
        <w:spacing w:after="100"/>
      </w:pPr>
      <w:r>
        <w:rPr>
          <w:rFonts w:ascii="Calibri" w:hAnsi="Calibri" w:eastAsia="Microsoft YaHei"/>
          <w:b/>
          <w:i w:val="0"/>
          <w:color w:val="68452B"/>
          <w:sz w:val="17"/>
        </w:rPr>
        <w:t>ABOUT THIS REPORT</w:t>
      </w:r>
    </w:p>
    <w:p>
      <w:pPr>
        <w:pStyle w:val="Title"/>
        <w:spacing w:after="140"/>
      </w:pPr>
      <w:r>
        <w:rPr>
          <w:rFonts w:ascii="Calibri" w:hAnsi="Calibri" w:eastAsia="Microsoft YaHei"/>
          <w:b/>
          <w:i w:val="0"/>
          <w:color w:val="173F35"/>
          <w:sz w:val="48"/>
        </w:rPr>
        <w:t>关于本报告</w:t>
      </w:r>
    </w:p>
    <w:p>
      <w:pPr>
        <w:spacing w:after="280"/>
      </w:pPr>
      <w:r>
        <w:rPr>
          <w:rFonts w:ascii="Calibri" w:hAnsi="Calibri" w:eastAsia="Microsoft YaHei"/>
          <w:b w:val="0"/>
          <w:i w:val="0"/>
          <w:color w:val="66706B"/>
          <w:sz w:val="21"/>
        </w:rPr>
        <w:t>报告边界、编制依据与读者说明</w:t>
      </w:r>
    </w:p>
    <w:p>
      <w:pPr>
        <w:spacing w:after="120" w:line="278" w:lineRule="auto"/>
      </w:pPr>
      <w:r>
        <w:rPr>
          <w:rFonts w:ascii="Calibri" w:hAnsi="Calibri" w:eastAsia="Microsoft YaHei"/>
          <w:b w:val="0"/>
          <w:i w:val="0"/>
          <w:color w:val="202823"/>
          <w:sz w:val="21"/>
        </w:rPr>
        <w:t>本报告披露成都植念科技有限公司及其生活清洁品牌“吐枝 Twiggy”在 2024—2025 年的主要经济、环境与社会实践。报告覆盖公司能够取得并经内部核对的数据；不包含供应商与合作方未向公司提供的完整环境、劳工或财务数据。</w:t>
      </w:r>
    </w:p>
    <w:p>
      <w:pPr>
        <w:spacing w:after="120" w:line="278" w:lineRule="auto"/>
      </w:pPr>
      <w:r>
        <w:rPr>
          <w:rFonts w:ascii="Calibri" w:hAnsi="Calibri" w:eastAsia="Microsoft YaHei"/>
          <w:b w:val="0"/>
          <w:i w:val="0"/>
          <w:color w:val="202823"/>
          <w:sz w:val="21"/>
        </w:rPr>
        <w:t>本报告参照 GRI《通用标准 2021》及相关主题标准组织信息。由于公司尚未完成全部 GRI 披露、利益相关方正式参与程序、完整温室气体盘查与外部鉴证，本报告不声明“符合 GRI 标准编制”，而采用“参照 GRI 标准”的表述。</w:t>
      </w:r>
    </w:p>
    <w:tbl>
      <w:tblPr>
        <w:tblW w:type="auto" w:w="0"/>
        <w:jc w:val="center"/>
        <w:tblLayout w:type="fixed"/>
        <w:tblLook w:firstColumn="1" w:firstRow="1" w:lastColumn="0" w:lastRow="0" w:noHBand="0" w:noVBand="1" w:val="04A0"/>
      </w:tblPr>
      <w:tblGrid>
        <w:gridCol w:w="9360"/>
      </w:tblGrid>
      <w:tr>
        <w:tc>
          <w:tcPr>
            <w:tcW w:type="dxa" w:w="9360"/>
            <w:shd w:fill="F7F3EB"/>
            <w:tcMar>
              <w:top w:w="190" w:type="dxa"/>
              <w:start w:w="220" w:type="dxa"/>
              <w:bottom w:w="190" w:type="dxa"/>
              <w:end w:w="220" w:type="dxa"/>
            </w:tcMar>
            <w:tcBorders>
              <w:top w:val="single" w:sz="6" w:color="E8D8BF"/>
              <w:left w:val="single" w:sz="6" w:color="E8D8BF"/>
              <w:bottom w:val="single" w:sz="6" w:color="E8D8BF"/>
              <w:right w:val="single" w:sz="6" w:color="E8D8BF"/>
            </w:tcBorders>
          </w:tcPr>
          <w:p>
            <w:pPr>
              <w:spacing w:after="60"/>
            </w:pPr>
            <w:r>
              <w:rPr>
                <w:rFonts w:ascii="Calibri" w:hAnsi="Calibri" w:eastAsia="Microsoft YaHei"/>
                <w:b/>
                <w:i w:val="0"/>
                <w:color w:val="173F35"/>
                <w:sz w:val="22"/>
              </w:rPr>
              <w:t>重要读者提示</w:t>
            </w:r>
          </w:p>
          <w:p>
            <w:pPr>
              <w:spacing w:after="0" w:line="269" w:lineRule="auto"/>
            </w:pPr>
            <w:r>
              <w:rPr>
                <w:rFonts w:ascii="Calibri" w:hAnsi="Calibri" w:eastAsia="Microsoft YaHei"/>
                <w:b w:val="0"/>
                <w:i w:val="0"/>
                <w:color w:val="202823"/>
                <w:sz w:val="19"/>
              </w:rPr>
              <w:t>报告中的 10,000 个瓶装替代当量和 95,000 kg 少运输液体质量，均为公司依据销售与产品形态作出的内部估算。95,000 kg 指避免运输的液体产品质量，不等同于 95,000 kg 二氧化碳当量。报告不据此宣称核证碳减排。</w:t>
            </w:r>
          </w:p>
        </w:tc>
      </w:tr>
    </w:tbl>
    <w:p>
      <w:pPr>
        <w:spacing w:after="0"/>
      </w:pPr>
    </w:p>
    <w:p>
      <w:pPr>
        <w:pStyle w:val="Heading2"/>
        <w:keepNext/>
      </w:pPr>
      <w:r>
        <w:rPr>
          <w:rFonts w:ascii="Calibri" w:hAnsi="Calibri" w:eastAsia="Microsoft YaHei"/>
          <w:b/>
          <w:i w:val="0"/>
          <w:color w:val="68452B"/>
          <w:sz w:val="25"/>
        </w:rPr>
        <w:t>报告属性</w:t>
      </w:r>
    </w:p>
    <w:tbl>
      <w:tblPr>
        <w:tblW w:type="auto" w:w="0"/>
        <w:jc w:val="center"/>
        <w:tblLayout w:type="fixed"/>
        <w:tblLook w:firstColumn="1" w:firstRow="1" w:lastColumn="0" w:lastRow="0" w:noHBand="0" w:noVBand="1" w:val="04A0"/>
      </w:tblPr>
      <w:tblGrid>
        <w:gridCol w:w="4680"/>
        <w:gridCol w:w="4680"/>
      </w:tblGrid>
      <w:tr>
        <w:trPr>
          <w:tblHeader w:val="true"/>
        </w:trPr>
        <w:tc>
          <w:tcPr>
            <w:tcW w:type="dxa" w:w="1944"/>
            <w:shd w:fill="173F35"/>
            <w:tcMar>
              <w:top w:w="100" w:type="dxa"/>
              <w:start w:w="110" w:type="dxa"/>
              <w:bottom w:w="100" w:type="dxa"/>
              <w:end w:w="110" w:type="dxa"/>
            </w:tcMar>
            <w:tcBorders>
              <w:top w:val="single" w:sz="4" w:color="FFFFFF"/>
              <w:left w:val="single" w:sz="4" w:color="FFFFFF"/>
              <w:bottom w:val="single" w:sz="4" w:color="FFFFFF"/>
              <w:right w:val="single" w:sz="4" w:color="FFFFFF"/>
            </w:tcBorders>
          </w:tcPr>
          <w:p>
            <w:pPr>
              <w:spacing w:after="0"/>
            </w:pPr>
            <w:r>
              <w:rPr>
                <w:rFonts w:ascii="Calibri" w:hAnsi="Calibri" w:eastAsia="Microsoft YaHei"/>
                <w:b/>
                <w:i w:val="0"/>
                <w:color w:val="FFFFFF"/>
                <w:sz w:val="16"/>
              </w:rPr>
              <w:t>项目</w:t>
            </w:r>
          </w:p>
        </w:tc>
        <w:tc>
          <w:tcPr>
            <w:tcW w:type="dxa" w:w="7416"/>
            <w:shd w:fill="173F35"/>
            <w:tcMar>
              <w:top w:w="100" w:type="dxa"/>
              <w:start w:w="110" w:type="dxa"/>
              <w:bottom w:w="100" w:type="dxa"/>
              <w:end w:w="110" w:type="dxa"/>
            </w:tcMar>
            <w:tcBorders>
              <w:top w:val="single" w:sz="4" w:color="FFFFFF"/>
              <w:left w:val="single" w:sz="4" w:color="FFFFFF"/>
              <w:bottom w:val="single" w:sz="4" w:color="FFFFFF"/>
              <w:right w:val="single" w:sz="4" w:color="FFFFFF"/>
            </w:tcBorders>
          </w:tcPr>
          <w:p>
            <w:pPr>
              <w:spacing w:after="0"/>
            </w:pPr>
            <w:r>
              <w:rPr>
                <w:rFonts w:ascii="Calibri" w:hAnsi="Calibri" w:eastAsia="Microsoft YaHei"/>
                <w:b/>
                <w:i w:val="0"/>
                <w:color w:val="FFFFFF"/>
                <w:sz w:val="16"/>
              </w:rPr>
              <w:t>说明</w:t>
            </w:r>
          </w:p>
        </w:tc>
      </w:tr>
      <w:tr>
        <w:tc>
          <w:tcPr>
            <w:tcW w:type="dxa" w:w="1944"/>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8"/>
              </w:rPr>
              <w:t>报告实体</w:t>
            </w:r>
          </w:p>
        </w:tc>
        <w:tc>
          <w:tcPr>
            <w:tcW w:type="dxa" w:w="7416"/>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8"/>
              </w:rPr>
              <w:t>成都植念科技有限公司；品牌：吐枝 Twiggy</w:t>
            </w:r>
          </w:p>
        </w:tc>
      </w:tr>
      <w:tr>
        <w:tc>
          <w:tcPr>
            <w:tcW w:type="dxa" w:w="1944"/>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8"/>
              </w:rPr>
              <w:t>报告期间</w:t>
            </w:r>
          </w:p>
        </w:tc>
        <w:tc>
          <w:tcPr>
            <w:tcW w:type="dxa" w:w="7416"/>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8"/>
              </w:rPr>
              <w:t>2024 年 1 月 1 日至 2025 年 12 月 31 日</w:t>
            </w:r>
          </w:p>
        </w:tc>
      </w:tr>
      <w:tr>
        <w:tc>
          <w:tcPr>
            <w:tcW w:type="dxa" w:w="1944"/>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8"/>
              </w:rPr>
              <w:t>报告频率</w:t>
            </w:r>
          </w:p>
        </w:tc>
        <w:tc>
          <w:tcPr>
            <w:tcW w:type="dxa" w:w="7416"/>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8"/>
              </w:rPr>
              <w:t>首次发布；计划后续按年度或双年度更新</w:t>
            </w:r>
          </w:p>
        </w:tc>
      </w:tr>
      <w:tr>
        <w:tc>
          <w:tcPr>
            <w:tcW w:type="dxa" w:w="1944"/>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8"/>
              </w:rPr>
              <w:t>报告边界</w:t>
            </w:r>
          </w:p>
        </w:tc>
        <w:tc>
          <w:tcPr>
            <w:tcW w:type="dxa" w:w="7416"/>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8"/>
              </w:rPr>
              <w:t>公司运营、产品设计、销售与公司主导的社会项目</w:t>
            </w:r>
          </w:p>
        </w:tc>
      </w:tr>
      <w:tr>
        <w:tc>
          <w:tcPr>
            <w:tcW w:type="dxa" w:w="1944"/>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8"/>
              </w:rPr>
              <w:t>外部鉴证</w:t>
            </w:r>
          </w:p>
        </w:tc>
        <w:tc>
          <w:tcPr>
            <w:tcW w:type="dxa" w:w="7416"/>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8"/>
              </w:rPr>
              <w:t>未进行第三方鉴证</w:t>
            </w:r>
          </w:p>
        </w:tc>
      </w:tr>
      <w:tr>
        <w:tc>
          <w:tcPr>
            <w:tcW w:type="dxa" w:w="1944"/>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8"/>
              </w:rPr>
              <w:t>反馈渠道</w:t>
            </w:r>
          </w:p>
        </w:tc>
        <w:tc>
          <w:tcPr>
            <w:tcW w:type="dxa" w:w="7416"/>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8"/>
              </w:rPr>
              <w:t>吐枝官网联系页面</w:t>
            </w:r>
          </w:p>
        </w:tc>
      </w:tr>
    </w:tbl>
    <w:p>
      <w:pPr>
        <w:spacing w:after="0"/>
      </w:pPr>
    </w:p>
    <w:p>
      <w:pPr>
        <w:spacing w:after="80" w:line="264" w:lineRule="auto"/>
      </w:pPr>
      <w:r>
        <w:rPr>
          <w:rFonts w:ascii="Calibri" w:hAnsi="Calibri" w:eastAsia="Microsoft YaHei"/>
          <w:b w:val="0"/>
          <w:i w:val="0"/>
          <w:color w:val="66706B"/>
          <w:sz w:val="17"/>
        </w:rPr>
        <w:t>后续事项：UNCCD COP17 于 2026 年举行，不属于本报告期绩效，作为期后进展单独说明。</w:t>
      </w:r>
    </w:p>
    <w:p>
      <w:r>
        <w:br w:type="page"/>
      </w:r>
    </w:p>
    <w:p>
      <w:pPr>
        <w:spacing w:after="100"/>
      </w:pPr>
      <w:r>
        <w:rPr>
          <w:rFonts w:ascii="Calibri" w:hAnsi="Calibri" w:eastAsia="Microsoft YaHei"/>
          <w:b/>
          <w:i w:val="0"/>
          <w:color w:val="68452B"/>
          <w:sz w:val="17"/>
        </w:rPr>
        <w:t>LETTER</w:t>
      </w:r>
    </w:p>
    <w:p>
      <w:pPr>
        <w:pStyle w:val="Title"/>
        <w:spacing w:after="140"/>
      </w:pPr>
      <w:r>
        <w:rPr>
          <w:rFonts w:ascii="Calibri" w:hAnsi="Calibri" w:eastAsia="Microsoft YaHei"/>
          <w:b/>
          <w:i w:val="0"/>
          <w:color w:val="173F35"/>
          <w:sz w:val="48"/>
        </w:rPr>
        <w:t>把清洁做成更轻的日常</w:t>
      </w:r>
    </w:p>
    <w:p>
      <w:pPr>
        <w:spacing w:after="280"/>
      </w:pPr>
      <w:r>
        <w:rPr>
          <w:rFonts w:ascii="Calibri" w:hAnsi="Calibri" w:eastAsia="Microsoft YaHei"/>
          <w:b w:val="0"/>
          <w:i w:val="0"/>
          <w:color w:val="66706B"/>
          <w:sz w:val="21"/>
        </w:rPr>
        <w:t>管理层致辞</w:t>
      </w:r>
    </w:p>
    <w:p>
      <w:pPr>
        <w:spacing w:after="120" w:line="278" w:lineRule="auto"/>
      </w:pPr>
      <w:r>
        <w:rPr>
          <w:rFonts w:ascii="Calibri" w:hAnsi="Calibri" w:eastAsia="Microsoft YaHei"/>
          <w:b w:val="0"/>
          <w:i w:val="0"/>
          <w:color w:val="202823"/>
          <w:sz w:val="21"/>
        </w:rPr>
        <w:t>清洁是最普通的生活动作之一，也连接着材料、包装、运输、水环境与人的感受。吐枝从一个朴素的问题出发：一件每天都会使用的清洁产品，能不能在完成本职工作的同时，让包装更简洁、运输更轻，也让产品信息更诚实？</w:t>
      </w:r>
    </w:p>
    <w:p>
      <w:pPr>
        <w:spacing w:after="120" w:line="278" w:lineRule="auto"/>
      </w:pPr>
      <w:r>
        <w:rPr>
          <w:rFonts w:ascii="Calibri" w:hAnsi="Calibri" w:eastAsia="Microsoft YaHei"/>
          <w:b w:val="0"/>
          <w:i w:val="0"/>
          <w:color w:val="202823"/>
          <w:sz w:val="21"/>
        </w:rPr>
        <w:t>2024—2025 年，我们在小规模经营中尝试用洗衣片替代一部分瓶装洗衣液，用植物来源、酶与矿物等成分探索产品配方，并把就业准备培训带给 4 名心智障碍青年。我们也通过 TEDxSuzhou 与 D 大调合唱团“暖冬颂歌”百人合唱大会，参与气候、城市、文化与包容性议题。</w:t>
      </w:r>
    </w:p>
    <w:p>
      <w:pPr>
        <w:spacing w:after="120" w:line="278" w:lineRule="auto"/>
      </w:pPr>
      <w:r>
        <w:rPr>
          <w:rFonts w:ascii="Calibri" w:hAnsi="Calibri" w:eastAsia="Microsoft YaHei"/>
          <w:b w:val="0"/>
          <w:i w:val="0"/>
          <w:color w:val="202823"/>
          <w:sz w:val="21"/>
        </w:rPr>
        <w:t>这一阶段的不足同样清楚：我们还没有完整生命周期评价，没有 Scope 1、2、3 温室气体清单，也缺少包装重量、运输里程、培训时长和后续就业结果等基础数据。因此，这份报告既是总结，也是数据治理的起点。</w:t>
      </w:r>
    </w:p>
    <w:p>
      <w:pPr>
        <w:spacing w:after="120" w:line="278" w:lineRule="auto"/>
      </w:pPr>
      <w:r>
        <w:rPr>
          <w:rFonts w:ascii="Calibri" w:hAnsi="Calibri" w:eastAsia="Microsoft YaHei"/>
          <w:b w:val="0"/>
          <w:i w:val="0"/>
          <w:color w:val="202823"/>
          <w:sz w:val="21"/>
        </w:rPr>
        <w:t>我们愿意把可以核对的成果写清楚，把不能证明的部分保留边界，并在下一报告周期用更完整的方法回答：吐枝为环境与社会带来的改变，究竟有多少、发生在哪里、是否能够被复核。</w:t>
      </w:r>
    </w:p>
    <w:p>
      <w:pPr>
        <w:spacing w:before="240"/>
        <w:jc w:val="right"/>
      </w:pPr>
      <w:r>
        <w:rPr>
          <w:rFonts w:ascii="Calibri" w:hAnsi="Calibri" w:eastAsia="Microsoft YaHei"/>
          <w:b/>
          <w:i w:val="0"/>
          <w:color w:val="68452B"/>
          <w:sz w:val="21"/>
        </w:rPr>
        <w:t>吐枝 Twiggy 管理团队</w:t>
      </w:r>
    </w:p>
    <w:p>
      <w:pPr>
        <w:spacing w:after="80" w:line="264" w:lineRule="auto"/>
        <w:jc w:val="right"/>
      </w:pPr>
      <w:r>
        <w:rPr>
          <w:rFonts w:ascii="Calibri" w:hAnsi="Calibri" w:eastAsia="Microsoft YaHei"/>
          <w:b w:val="0"/>
          <w:i w:val="0"/>
          <w:color w:val="66706B"/>
          <w:sz w:val="17"/>
        </w:rPr>
        <w:t>2026 年 9 月</w:t>
      </w:r>
    </w:p>
    <w:p>
      <w:r>
        <w:br w:type="page"/>
      </w:r>
    </w:p>
    <w:p>
      <w:pPr>
        <w:spacing w:after="100"/>
      </w:pPr>
      <w:r>
        <w:rPr>
          <w:rFonts w:ascii="Calibri" w:hAnsi="Calibri" w:eastAsia="Microsoft YaHei"/>
          <w:b/>
          <w:i w:val="0"/>
          <w:color w:val="68452B"/>
          <w:sz w:val="17"/>
        </w:rPr>
        <w:t>PERFORMANCE</w:t>
      </w:r>
    </w:p>
    <w:p>
      <w:pPr>
        <w:pStyle w:val="Title"/>
        <w:spacing w:after="140"/>
      </w:pPr>
      <w:r>
        <w:rPr>
          <w:rFonts w:ascii="Calibri" w:hAnsi="Calibri" w:eastAsia="Microsoft YaHei"/>
          <w:b/>
          <w:i w:val="0"/>
          <w:color w:val="173F35"/>
          <w:sz w:val="48"/>
        </w:rPr>
        <w:t>两年影响力一览</w:t>
      </w:r>
    </w:p>
    <w:p>
      <w:pPr>
        <w:spacing w:after="280"/>
      </w:pPr>
      <w:r>
        <w:rPr>
          <w:rFonts w:ascii="Calibri" w:hAnsi="Calibri" w:eastAsia="Microsoft YaHei"/>
          <w:b w:val="0"/>
          <w:i w:val="0"/>
          <w:color w:val="66706B"/>
          <w:sz w:val="21"/>
        </w:rPr>
        <w:t>已报告数据与其边界</w:t>
      </w:r>
    </w:p>
    <w:tbl>
      <w:tblPr>
        <w:tblW w:type="auto" w:w="0"/>
        <w:jc w:val="center"/>
        <w:tblLayout w:type="fixed"/>
        <w:tblLook w:firstColumn="1" w:firstRow="1" w:lastColumn="0" w:lastRow="0" w:noHBand="0" w:noVBand="1" w:val="04A0"/>
      </w:tblPr>
      <w:tblGrid>
        <w:gridCol w:w="3120"/>
        <w:gridCol w:w="3120"/>
        <w:gridCol w:w="3120"/>
      </w:tblGrid>
      <w:tr>
        <w:tc>
          <w:tcPr>
            <w:tcW w:type="dxa" w:w="3120"/>
            <w:vAlign w:val="center"/>
            <w:shd w:fill="F7F3EB"/>
            <w:tcMar>
              <w:top w:w="180" w:type="dxa"/>
              <w:start w:w="120" w:type="dxa"/>
              <w:bottom w:w="180" w:type="dxa"/>
              <w:end w:w="120" w:type="dxa"/>
            </w:tcMar>
            <w:tcBorders>
              <w:top w:val="single" w:sz="5" w:color="D7D8D2"/>
              <w:left w:val="single" w:sz="5" w:color="D7D8D2"/>
              <w:bottom w:val="single" w:sz="5" w:color="D7D8D2"/>
              <w:right w:val="single" w:sz="5" w:color="D7D8D2"/>
            </w:tcBorders>
          </w:tcPr>
          <w:p>
            <w:pPr>
              <w:spacing w:after="40"/>
              <w:jc w:val="center"/>
            </w:pPr>
            <w:r>
              <w:rPr>
                <w:rFonts w:ascii="Calibri" w:hAnsi="Calibri" w:eastAsia="Microsoft YaHei"/>
                <w:b/>
                <w:i w:val="0"/>
                <w:color w:val="173F35"/>
                <w:sz w:val="34"/>
              </w:rPr>
              <w:t>1.22 百万元</w:t>
            </w:r>
          </w:p>
          <w:p>
            <w:pPr>
              <w:spacing w:after="40"/>
              <w:jc w:val="center"/>
            </w:pPr>
            <w:r>
              <w:rPr>
                <w:rFonts w:ascii="Calibri" w:hAnsi="Calibri" w:eastAsia="Microsoft YaHei"/>
                <w:b/>
                <w:i w:val="0"/>
                <w:color w:val="68452B"/>
                <w:sz w:val="17"/>
              </w:rPr>
              <w:t>直接经济价值</w:t>
            </w:r>
          </w:p>
          <w:p>
            <w:pPr>
              <w:spacing w:after="0"/>
              <w:jc w:val="center"/>
            </w:pPr>
            <w:r>
              <w:rPr>
                <w:rFonts w:ascii="Calibri" w:hAnsi="Calibri" w:eastAsia="Microsoft YaHei"/>
                <w:b w:val="0"/>
                <w:i w:val="0"/>
                <w:color w:val="66706B"/>
                <w:sz w:val="14"/>
              </w:rPr>
              <w:t>仅披露收入</w:t>
            </w:r>
          </w:p>
        </w:tc>
        <w:tc>
          <w:tcPr>
            <w:tcW w:type="dxa" w:w="3120"/>
            <w:vAlign w:val="center"/>
            <w:shd w:fill="E9EFEA"/>
            <w:tcMar>
              <w:top w:w="180" w:type="dxa"/>
              <w:start w:w="120" w:type="dxa"/>
              <w:bottom w:w="180" w:type="dxa"/>
              <w:end w:w="120" w:type="dxa"/>
            </w:tcMar>
            <w:tcBorders>
              <w:top w:val="single" w:sz="5" w:color="D7D8D2"/>
              <w:left w:val="single" w:sz="5" w:color="D7D8D2"/>
              <w:bottom w:val="single" w:sz="5" w:color="D7D8D2"/>
              <w:right w:val="single" w:sz="5" w:color="D7D8D2"/>
            </w:tcBorders>
          </w:tcPr>
          <w:p>
            <w:pPr>
              <w:spacing w:after="40"/>
              <w:jc w:val="center"/>
            </w:pPr>
            <w:r>
              <w:rPr>
                <w:rFonts w:ascii="Calibri" w:hAnsi="Calibri" w:eastAsia="Microsoft YaHei"/>
                <w:b/>
                <w:i w:val="0"/>
                <w:color w:val="173F35"/>
                <w:sz w:val="34"/>
              </w:rPr>
              <w:t>10,000 个</w:t>
            </w:r>
          </w:p>
          <w:p>
            <w:pPr>
              <w:spacing w:after="40"/>
              <w:jc w:val="center"/>
            </w:pPr>
            <w:r>
              <w:rPr>
                <w:rFonts w:ascii="Calibri" w:hAnsi="Calibri" w:eastAsia="Microsoft YaHei"/>
                <w:b/>
                <w:i w:val="0"/>
                <w:color w:val="68452B"/>
                <w:sz w:val="17"/>
              </w:rPr>
              <w:t>瓶装替代当量</w:t>
            </w:r>
          </w:p>
          <w:p>
            <w:pPr>
              <w:spacing w:after="0"/>
              <w:jc w:val="center"/>
            </w:pPr>
            <w:r>
              <w:rPr>
                <w:rFonts w:ascii="Calibri" w:hAnsi="Calibri" w:eastAsia="Microsoft YaHei"/>
                <w:b w:val="0"/>
                <w:i w:val="0"/>
                <w:color w:val="66706B"/>
                <w:sz w:val="14"/>
              </w:rPr>
              <w:t>非包装重量</w:t>
            </w:r>
          </w:p>
        </w:tc>
        <w:tc>
          <w:tcPr>
            <w:tcW w:type="dxa" w:w="3120"/>
            <w:vAlign w:val="center"/>
            <w:shd w:fill="F7F3EB"/>
            <w:tcMar>
              <w:top w:w="180" w:type="dxa"/>
              <w:start w:w="120" w:type="dxa"/>
              <w:bottom w:w="180" w:type="dxa"/>
              <w:end w:w="120" w:type="dxa"/>
            </w:tcMar>
            <w:tcBorders>
              <w:top w:val="single" w:sz="5" w:color="D7D8D2"/>
              <w:left w:val="single" w:sz="5" w:color="D7D8D2"/>
              <w:bottom w:val="single" w:sz="5" w:color="D7D8D2"/>
              <w:right w:val="single" w:sz="5" w:color="D7D8D2"/>
            </w:tcBorders>
          </w:tcPr>
          <w:p>
            <w:pPr>
              <w:spacing w:after="40"/>
              <w:jc w:val="center"/>
            </w:pPr>
            <w:r>
              <w:rPr>
                <w:rFonts w:ascii="Calibri" w:hAnsi="Calibri" w:eastAsia="Microsoft YaHei"/>
                <w:b/>
                <w:i w:val="0"/>
                <w:color w:val="173F35"/>
                <w:sz w:val="34"/>
              </w:rPr>
              <w:t>95 吨</w:t>
            </w:r>
          </w:p>
          <w:p>
            <w:pPr>
              <w:spacing w:after="40"/>
              <w:jc w:val="center"/>
            </w:pPr>
            <w:r>
              <w:rPr>
                <w:rFonts w:ascii="Calibri" w:hAnsi="Calibri" w:eastAsia="Microsoft YaHei"/>
                <w:b/>
                <w:i w:val="0"/>
                <w:color w:val="68452B"/>
                <w:sz w:val="17"/>
              </w:rPr>
              <w:t>少运输液体质量</w:t>
            </w:r>
          </w:p>
          <w:p>
            <w:pPr>
              <w:spacing w:after="0"/>
              <w:jc w:val="center"/>
            </w:pPr>
            <w:r>
              <w:rPr>
                <w:rFonts w:ascii="Calibri" w:hAnsi="Calibri" w:eastAsia="Microsoft YaHei"/>
                <w:b w:val="0"/>
                <w:i w:val="0"/>
                <w:color w:val="66706B"/>
                <w:sz w:val="14"/>
              </w:rPr>
              <w:t>非碳排放量</w:t>
            </w:r>
          </w:p>
        </w:tc>
      </w:tr>
    </w:tbl>
    <w:p>
      <w:pPr>
        <w:spacing w:after="0"/>
      </w:pPr>
    </w:p>
    <w:tbl>
      <w:tblPr>
        <w:tblW w:type="auto" w:w="0"/>
        <w:jc w:val="center"/>
        <w:tblLayout w:type="fixed"/>
        <w:tblLook w:firstColumn="1" w:firstRow="1" w:lastColumn="0" w:lastRow="0" w:noHBand="0" w:noVBand="1" w:val="04A0"/>
      </w:tblPr>
      <w:tblGrid>
        <w:gridCol w:w="3120"/>
        <w:gridCol w:w="3120"/>
        <w:gridCol w:w="3120"/>
      </w:tblGrid>
      <w:tr>
        <w:tc>
          <w:tcPr>
            <w:tcW w:type="dxa" w:w="3120"/>
            <w:vAlign w:val="center"/>
            <w:shd w:fill="F7F3EB"/>
            <w:tcMar>
              <w:top w:w="180" w:type="dxa"/>
              <w:start w:w="120" w:type="dxa"/>
              <w:bottom w:w="180" w:type="dxa"/>
              <w:end w:w="120" w:type="dxa"/>
            </w:tcMar>
            <w:tcBorders>
              <w:top w:val="single" w:sz="5" w:color="D7D8D2"/>
              <w:left w:val="single" w:sz="5" w:color="D7D8D2"/>
              <w:bottom w:val="single" w:sz="5" w:color="D7D8D2"/>
              <w:right w:val="single" w:sz="5" w:color="D7D8D2"/>
            </w:tcBorders>
          </w:tcPr>
          <w:p>
            <w:pPr>
              <w:spacing w:after="40"/>
              <w:jc w:val="center"/>
            </w:pPr>
            <w:r>
              <w:rPr>
                <w:rFonts w:ascii="Calibri" w:hAnsi="Calibri" w:eastAsia="Microsoft YaHei"/>
                <w:b/>
                <w:i w:val="0"/>
                <w:color w:val="173F35"/>
                <w:sz w:val="34"/>
              </w:rPr>
              <w:t>4 名</w:t>
            </w:r>
          </w:p>
          <w:p>
            <w:pPr>
              <w:spacing w:after="40"/>
              <w:jc w:val="center"/>
            </w:pPr>
            <w:r>
              <w:rPr>
                <w:rFonts w:ascii="Calibri" w:hAnsi="Calibri" w:eastAsia="Microsoft YaHei"/>
                <w:b/>
                <w:i w:val="0"/>
                <w:color w:val="68452B"/>
                <w:sz w:val="17"/>
              </w:rPr>
              <w:t>培训参与者</w:t>
            </w:r>
          </w:p>
          <w:p>
            <w:pPr>
              <w:spacing w:after="0"/>
              <w:jc w:val="center"/>
            </w:pPr>
            <w:r>
              <w:rPr>
                <w:rFonts w:ascii="Calibri" w:hAnsi="Calibri" w:eastAsia="Microsoft YaHei"/>
                <w:b w:val="0"/>
                <w:i w:val="0"/>
                <w:color w:val="66706B"/>
                <w:sz w:val="14"/>
              </w:rPr>
              <w:t>心智障碍青年</w:t>
            </w:r>
          </w:p>
        </w:tc>
        <w:tc>
          <w:tcPr>
            <w:tcW w:type="dxa" w:w="3120"/>
            <w:vAlign w:val="center"/>
            <w:shd w:fill="E9EFEA"/>
            <w:tcMar>
              <w:top w:w="180" w:type="dxa"/>
              <w:start w:w="120" w:type="dxa"/>
              <w:bottom w:w="180" w:type="dxa"/>
              <w:end w:w="120" w:type="dxa"/>
            </w:tcMar>
            <w:tcBorders>
              <w:top w:val="single" w:sz="5" w:color="D7D8D2"/>
              <w:left w:val="single" w:sz="5" w:color="D7D8D2"/>
              <w:bottom w:val="single" w:sz="5" w:color="D7D8D2"/>
              <w:right w:val="single" w:sz="5" w:color="D7D8D2"/>
            </w:tcBorders>
          </w:tcPr>
          <w:p>
            <w:pPr>
              <w:spacing w:after="40"/>
              <w:jc w:val="center"/>
            </w:pPr>
            <w:r>
              <w:rPr>
                <w:rFonts w:ascii="Calibri" w:hAnsi="Calibri" w:eastAsia="Microsoft YaHei"/>
                <w:b/>
                <w:i w:val="0"/>
                <w:color w:val="173F35"/>
                <w:sz w:val="34"/>
              </w:rPr>
              <w:t>2 项</w:t>
            </w:r>
          </w:p>
          <w:p>
            <w:pPr>
              <w:spacing w:after="40"/>
              <w:jc w:val="center"/>
            </w:pPr>
            <w:r>
              <w:rPr>
                <w:rFonts w:ascii="Calibri" w:hAnsi="Calibri" w:eastAsia="Microsoft YaHei"/>
                <w:b/>
                <w:i w:val="0"/>
                <w:color w:val="68452B"/>
                <w:sz w:val="17"/>
              </w:rPr>
              <w:t>文化与公共议题赞助</w:t>
            </w:r>
          </w:p>
          <w:p>
            <w:pPr>
              <w:spacing w:after="0"/>
              <w:jc w:val="center"/>
            </w:pPr>
            <w:r>
              <w:rPr>
                <w:rFonts w:ascii="Calibri" w:hAnsi="Calibri" w:eastAsia="Microsoft YaHei"/>
                <w:b w:val="0"/>
                <w:i w:val="0"/>
                <w:color w:val="66706B"/>
                <w:sz w:val="14"/>
              </w:rPr>
              <w:t>公司报告</w:t>
            </w:r>
          </w:p>
        </w:tc>
        <w:tc>
          <w:tcPr>
            <w:tcW w:type="dxa" w:w="3120"/>
            <w:vAlign w:val="center"/>
            <w:shd w:fill="F7F3EB"/>
            <w:tcMar>
              <w:top w:w="180" w:type="dxa"/>
              <w:start w:w="120" w:type="dxa"/>
              <w:bottom w:w="180" w:type="dxa"/>
              <w:end w:w="120" w:type="dxa"/>
            </w:tcMar>
            <w:tcBorders>
              <w:top w:val="single" w:sz="5" w:color="D7D8D2"/>
              <w:left w:val="single" w:sz="5" w:color="D7D8D2"/>
              <w:bottom w:val="single" w:sz="5" w:color="D7D8D2"/>
              <w:right w:val="single" w:sz="5" w:color="D7D8D2"/>
            </w:tcBorders>
          </w:tcPr>
          <w:p>
            <w:pPr>
              <w:spacing w:after="40"/>
              <w:jc w:val="center"/>
            </w:pPr>
            <w:r>
              <w:rPr>
                <w:rFonts w:ascii="Calibri" w:hAnsi="Calibri" w:eastAsia="Microsoft YaHei"/>
                <w:b/>
                <w:i w:val="0"/>
                <w:color w:val="173F35"/>
                <w:sz w:val="34"/>
              </w:rPr>
              <w:t>2 次</w:t>
            </w:r>
          </w:p>
          <w:p>
            <w:pPr>
              <w:spacing w:after="40"/>
              <w:jc w:val="center"/>
            </w:pPr>
            <w:r>
              <w:rPr>
                <w:rFonts w:ascii="Calibri" w:hAnsi="Calibri" w:eastAsia="Microsoft YaHei"/>
                <w:b/>
                <w:i w:val="0"/>
                <w:color w:val="68452B"/>
                <w:sz w:val="17"/>
              </w:rPr>
              <w:t>联合国缔约方大会礼赠场景</w:t>
            </w:r>
          </w:p>
          <w:p>
            <w:pPr>
              <w:spacing w:after="0"/>
              <w:jc w:val="center"/>
            </w:pPr>
            <w:r>
              <w:rPr>
                <w:rFonts w:ascii="Calibri" w:hAnsi="Calibri" w:eastAsia="Microsoft YaHei"/>
                <w:b w:val="0"/>
                <w:i w:val="0"/>
                <w:color w:val="66706B"/>
                <w:sz w:val="14"/>
              </w:rPr>
              <w:t>1 次期内、1 次期后</w:t>
            </w:r>
          </w:p>
        </w:tc>
      </w:tr>
    </w:tbl>
    <w:p>
      <w:pPr>
        <w:spacing w:after="0"/>
      </w:pPr>
    </w:p>
    <w:p>
      <w:pPr>
        <w:pStyle w:val="Heading2"/>
        <w:keepNext/>
      </w:pPr>
      <w:r>
        <w:rPr>
          <w:rFonts w:ascii="Calibri" w:hAnsi="Calibri" w:eastAsia="Microsoft YaHei"/>
          <w:b/>
          <w:i w:val="0"/>
          <w:color w:val="68452B"/>
          <w:sz w:val="25"/>
        </w:rPr>
        <w:t>怎样阅读这些数字</w:t>
      </w:r>
    </w:p>
    <w:p>
      <w:pPr>
        <w:spacing w:after="120" w:line="278" w:lineRule="auto"/>
      </w:pPr>
      <w:r>
        <w:rPr>
          <w:rFonts w:ascii="Calibri" w:hAnsi="Calibri" w:eastAsia="Microsoft YaHei"/>
          <w:b w:val="0"/>
          <w:i w:val="0"/>
          <w:color w:val="202823"/>
          <w:sz w:val="21"/>
        </w:rPr>
        <w:t>经济数字说明公司创造市场收入的能力，但不等于利润或可分配经济价值；公司尚未按 GRI 201-1 完整拆分运营成本、员工薪酬、资本提供者付款、政府款项与社区投资。</w:t>
      </w:r>
    </w:p>
    <w:p>
      <w:pPr>
        <w:spacing w:after="120" w:line="278" w:lineRule="auto"/>
      </w:pPr>
      <w:r>
        <w:rPr>
          <w:rFonts w:ascii="Calibri" w:hAnsi="Calibri" w:eastAsia="Microsoft YaHei"/>
          <w:b w:val="0"/>
          <w:i w:val="0"/>
          <w:color w:val="202823"/>
          <w:sz w:val="21"/>
        </w:rPr>
        <w:t>环境数字目前反映产品形态带来的包装与物流“活动量变化”。瓶数并不直接等于塑料减量，液体质量也不直接等于温室气体减排。要把活动量转换为环境结果，还需要包装单重、运输距离与方式、载重率、排放因子及产品生命周期边界。</w:t>
      </w:r>
    </w:p>
    <w:p>
      <w:pPr>
        <w:spacing w:after="120" w:line="278" w:lineRule="auto"/>
      </w:pPr>
      <w:r>
        <w:rPr>
          <w:rFonts w:ascii="Calibri" w:hAnsi="Calibri" w:eastAsia="Microsoft YaHei"/>
          <w:b w:val="0"/>
          <w:i w:val="0"/>
          <w:color w:val="202823"/>
          <w:sz w:val="21"/>
        </w:rPr>
        <w:t>社会数字反映实际覆盖人数和项目参与，但不把就业培训等同于已就业，也不把商业赞助等同于可量化的社会影响。下一阶段将补充培训时长、完成率、岗位衔接和合作方反馈。</w:t>
      </w:r>
    </w:p>
    <w:p>
      <w:r>
        <w:br w:type="page"/>
      </w:r>
    </w:p>
    <w:p>
      <w:pPr>
        <w:spacing w:after="100"/>
      </w:pPr>
      <w:r>
        <w:rPr>
          <w:rFonts w:ascii="Calibri" w:hAnsi="Calibri" w:eastAsia="Microsoft YaHei"/>
          <w:b/>
          <w:i w:val="0"/>
          <w:color w:val="68452B"/>
          <w:sz w:val="17"/>
        </w:rPr>
        <w:t>PROFILE</w:t>
      </w:r>
    </w:p>
    <w:p>
      <w:pPr>
        <w:pStyle w:val="Title"/>
        <w:spacing w:after="140"/>
      </w:pPr>
      <w:r>
        <w:rPr>
          <w:rFonts w:ascii="Calibri" w:hAnsi="Calibri" w:eastAsia="Microsoft YaHei"/>
          <w:b/>
          <w:i w:val="0"/>
          <w:color w:val="173F35"/>
          <w:sz w:val="48"/>
        </w:rPr>
        <w:t>关于吐枝</w:t>
      </w:r>
    </w:p>
    <w:p>
      <w:pPr>
        <w:spacing w:after="280"/>
      </w:pPr>
      <w:r>
        <w:rPr>
          <w:rFonts w:ascii="Calibri" w:hAnsi="Calibri" w:eastAsia="Microsoft YaHei"/>
          <w:b w:val="0"/>
          <w:i w:val="0"/>
          <w:color w:val="66706B"/>
          <w:sz w:val="21"/>
        </w:rPr>
        <w:t>从产品设计到日常使用的价值链</w:t>
      </w:r>
    </w:p>
    <w:p>
      <w:pPr>
        <w:spacing w:after="120" w:line="278" w:lineRule="auto"/>
      </w:pPr>
      <w:r>
        <w:rPr>
          <w:rFonts w:ascii="Calibri" w:hAnsi="Calibri" w:eastAsia="Microsoft YaHei"/>
          <w:b w:val="0"/>
          <w:i w:val="0"/>
          <w:color w:val="202823"/>
          <w:sz w:val="21"/>
        </w:rPr>
        <w:t>吐枝 Twiggy 是成都植念科技有限公司运营的生活清洁品牌，关注衣物洗涤、家居清洁与本草洗护。产品组合包括植物精油洗衣粉、洗衣片、洗衣皂、柚叶多功能去污膏与本草洗发膏等。品牌以简化产品形态、减少不必要包装与运输负担、提高使用信息透明度为主要设计方向。</w:t>
      </w:r>
    </w:p>
    <w:p>
      <w:pPr>
        <w:pStyle w:val="Heading2"/>
        <w:keepNext/>
      </w:pPr>
      <w:r>
        <w:rPr>
          <w:rFonts w:ascii="Calibri" w:hAnsi="Calibri" w:eastAsia="Microsoft YaHei"/>
          <w:b/>
          <w:i w:val="0"/>
          <w:color w:val="68452B"/>
          <w:sz w:val="25"/>
        </w:rPr>
        <w:t>价值链中的重点环节</w:t>
      </w:r>
    </w:p>
    <w:tbl>
      <w:tblPr>
        <w:tblW w:type="auto" w:w="0"/>
        <w:jc w:val="center"/>
        <w:tblLayout w:type="fixed"/>
        <w:tblLook w:firstColumn="1" w:firstRow="1" w:lastColumn="0" w:lastRow="0" w:noHBand="0" w:noVBand="1" w:val="04A0"/>
      </w:tblPr>
      <w:tblGrid>
        <w:gridCol w:w="3120"/>
        <w:gridCol w:w="3120"/>
        <w:gridCol w:w="3120"/>
      </w:tblGrid>
      <w:tr>
        <w:trPr>
          <w:tblHeader w:val="true"/>
        </w:trPr>
        <w:tc>
          <w:tcPr>
            <w:tcW w:type="dxa" w:w="1440"/>
            <w:shd w:fill="173F35"/>
            <w:tcMar>
              <w:top w:w="100" w:type="dxa"/>
              <w:start w:w="110" w:type="dxa"/>
              <w:bottom w:w="100" w:type="dxa"/>
              <w:end w:w="110" w:type="dxa"/>
            </w:tcMar>
            <w:tcBorders>
              <w:top w:val="single" w:sz="4" w:color="FFFFFF"/>
              <w:left w:val="single" w:sz="4" w:color="FFFFFF"/>
              <w:bottom w:val="single" w:sz="4" w:color="FFFFFF"/>
              <w:right w:val="single" w:sz="4" w:color="FFFFFF"/>
            </w:tcBorders>
          </w:tcPr>
          <w:p>
            <w:pPr>
              <w:spacing w:after="0"/>
            </w:pPr>
            <w:r>
              <w:rPr>
                <w:rFonts w:ascii="Calibri" w:hAnsi="Calibri" w:eastAsia="Microsoft YaHei"/>
                <w:b/>
                <w:i w:val="0"/>
                <w:color w:val="FFFFFF"/>
                <w:sz w:val="16"/>
              </w:rPr>
              <w:t>环节</w:t>
            </w:r>
          </w:p>
        </w:tc>
        <w:tc>
          <w:tcPr>
            <w:tcW w:type="dxa" w:w="3672"/>
            <w:shd w:fill="173F35"/>
            <w:tcMar>
              <w:top w:w="100" w:type="dxa"/>
              <w:start w:w="110" w:type="dxa"/>
              <w:bottom w:w="100" w:type="dxa"/>
              <w:end w:w="110" w:type="dxa"/>
            </w:tcMar>
            <w:tcBorders>
              <w:top w:val="single" w:sz="4" w:color="FFFFFF"/>
              <w:left w:val="single" w:sz="4" w:color="FFFFFF"/>
              <w:bottom w:val="single" w:sz="4" w:color="FFFFFF"/>
              <w:right w:val="single" w:sz="4" w:color="FFFFFF"/>
            </w:tcBorders>
          </w:tcPr>
          <w:p>
            <w:pPr>
              <w:spacing w:after="0"/>
            </w:pPr>
            <w:r>
              <w:rPr>
                <w:rFonts w:ascii="Calibri" w:hAnsi="Calibri" w:eastAsia="Microsoft YaHei"/>
                <w:b/>
                <w:i w:val="0"/>
                <w:color w:val="FFFFFF"/>
                <w:sz w:val="16"/>
              </w:rPr>
              <w:t>主要活动</w:t>
            </w:r>
          </w:p>
        </w:tc>
        <w:tc>
          <w:tcPr>
            <w:tcW w:type="dxa" w:w="4248"/>
            <w:shd w:fill="173F35"/>
            <w:tcMar>
              <w:top w:w="100" w:type="dxa"/>
              <w:start w:w="110" w:type="dxa"/>
              <w:bottom w:w="100" w:type="dxa"/>
              <w:end w:w="110" w:type="dxa"/>
            </w:tcMar>
            <w:tcBorders>
              <w:top w:val="single" w:sz="4" w:color="FFFFFF"/>
              <w:left w:val="single" w:sz="4" w:color="FFFFFF"/>
              <w:bottom w:val="single" w:sz="4" w:color="FFFFFF"/>
              <w:right w:val="single" w:sz="4" w:color="FFFFFF"/>
            </w:tcBorders>
          </w:tcPr>
          <w:p>
            <w:pPr>
              <w:spacing w:after="0"/>
            </w:pPr>
            <w:r>
              <w:rPr>
                <w:rFonts w:ascii="Calibri" w:hAnsi="Calibri" w:eastAsia="Microsoft YaHei"/>
                <w:b/>
                <w:i w:val="0"/>
                <w:color w:val="FFFFFF"/>
                <w:sz w:val="16"/>
              </w:rPr>
              <w:t>当前重点影响</w:t>
            </w:r>
          </w:p>
        </w:tc>
      </w:tr>
      <w:tr>
        <w:tc>
          <w:tcPr>
            <w:tcW w:type="dxa" w:w="1440"/>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原料与配方</w:t>
            </w:r>
          </w:p>
        </w:tc>
        <w:tc>
          <w:tcPr>
            <w:tcW w:type="dxa" w:w="3672"/>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植物来源、酶、矿物等原料的选择与复配</w:t>
            </w:r>
          </w:p>
        </w:tc>
        <w:tc>
          <w:tcPr>
            <w:tcW w:type="dxa" w:w="4248"/>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成分来源、适用性、环境归趋与供应商信息</w:t>
            </w:r>
          </w:p>
        </w:tc>
      </w:tr>
      <w:tr>
        <w:tc>
          <w:tcPr>
            <w:tcW w:type="dxa" w:w="1440"/>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包装</w:t>
            </w:r>
          </w:p>
        </w:tc>
        <w:tc>
          <w:tcPr>
            <w:tcW w:type="dxa" w:w="3672"/>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纸材、塑料容器与标签方案</w:t>
            </w:r>
          </w:p>
        </w:tc>
        <w:tc>
          <w:tcPr>
            <w:tcW w:type="dxa" w:w="4248"/>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材料用量、可回收性、包装减量</w:t>
            </w:r>
          </w:p>
        </w:tc>
      </w:tr>
      <w:tr>
        <w:tc>
          <w:tcPr>
            <w:tcW w:type="dxa" w:w="1440"/>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生产与质控</w:t>
            </w:r>
          </w:p>
        </w:tc>
        <w:tc>
          <w:tcPr>
            <w:tcW w:type="dxa" w:w="3672"/>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委托生产、批次质量与合规标签</w:t>
            </w:r>
          </w:p>
        </w:tc>
        <w:tc>
          <w:tcPr>
            <w:tcW w:type="dxa" w:w="4248"/>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质量安全、追溯、生产端能耗与废物</w:t>
            </w:r>
          </w:p>
        </w:tc>
      </w:tr>
      <w:tr>
        <w:tc>
          <w:tcPr>
            <w:tcW w:type="dxa" w:w="1440"/>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仓储与运输</w:t>
            </w:r>
          </w:p>
        </w:tc>
        <w:tc>
          <w:tcPr>
            <w:tcW w:type="dxa" w:w="3672"/>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成品入库、电商与活动配送</w:t>
            </w:r>
          </w:p>
        </w:tc>
        <w:tc>
          <w:tcPr>
            <w:tcW w:type="dxa" w:w="4248"/>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产品重量、运输距离、运输方式与碳排放</w:t>
            </w:r>
          </w:p>
        </w:tc>
      </w:tr>
      <w:tr>
        <w:tc>
          <w:tcPr>
            <w:tcW w:type="dxa" w:w="1440"/>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消费者使用</w:t>
            </w:r>
          </w:p>
        </w:tc>
        <w:tc>
          <w:tcPr>
            <w:tcW w:type="dxa" w:w="3672"/>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剂量、水温、投放与清洁场景</w:t>
            </w:r>
          </w:p>
        </w:tc>
        <w:tc>
          <w:tcPr>
            <w:tcW w:type="dxa" w:w="4248"/>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过量使用、水环境负荷与使用安全</w:t>
            </w:r>
          </w:p>
        </w:tc>
      </w:tr>
      <w:tr>
        <w:tc>
          <w:tcPr>
            <w:tcW w:type="dxa" w:w="1440"/>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使用后</w:t>
            </w:r>
          </w:p>
        </w:tc>
        <w:tc>
          <w:tcPr>
            <w:tcW w:type="dxa" w:w="3672"/>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包装处置与成分进入污水系统</w:t>
            </w:r>
          </w:p>
        </w:tc>
        <w:tc>
          <w:tcPr>
            <w:tcW w:type="dxa" w:w="4248"/>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包装废弃物、生物降解与生态毒性数据</w:t>
            </w:r>
          </w:p>
        </w:tc>
      </w:tr>
    </w:tbl>
    <w:p>
      <w:pPr>
        <w:spacing w:after="0"/>
      </w:pPr>
    </w:p>
    <w:tbl>
      <w:tblPr>
        <w:tblW w:type="auto" w:w="0"/>
        <w:jc w:val="center"/>
        <w:tblLayout w:type="fixed"/>
        <w:tblLook w:firstColumn="1" w:firstRow="1" w:lastColumn="0" w:lastRow="0" w:noHBand="0" w:noVBand="1" w:val="04A0"/>
      </w:tblPr>
      <w:tblGrid>
        <w:gridCol w:w="9360"/>
      </w:tblGrid>
      <w:tr>
        <w:tc>
          <w:tcPr>
            <w:tcW w:type="dxa" w:w="9360"/>
            <w:shd w:fill="F7F3EB"/>
            <w:tcMar>
              <w:top w:w="190" w:type="dxa"/>
              <w:start w:w="220" w:type="dxa"/>
              <w:bottom w:w="190" w:type="dxa"/>
              <w:end w:w="220" w:type="dxa"/>
            </w:tcMar>
            <w:tcBorders>
              <w:top w:val="single" w:sz="6" w:color="E8D8BF"/>
              <w:left w:val="single" w:sz="6" w:color="E8D8BF"/>
              <w:bottom w:val="single" w:sz="6" w:color="E8D8BF"/>
              <w:right w:val="single" w:sz="6" w:color="E8D8BF"/>
            </w:tcBorders>
          </w:tcPr>
          <w:p>
            <w:pPr>
              <w:spacing w:after="60"/>
            </w:pPr>
            <w:r>
              <w:rPr>
                <w:rFonts w:ascii="Calibri" w:hAnsi="Calibri" w:eastAsia="Microsoft YaHei"/>
                <w:b/>
                <w:i w:val="0"/>
                <w:color w:val="173F35"/>
                <w:sz w:val="22"/>
              </w:rPr>
              <w:t>品牌承诺的边界</w:t>
            </w:r>
          </w:p>
          <w:p>
            <w:pPr>
              <w:spacing w:after="0" w:line="269" w:lineRule="auto"/>
            </w:pPr>
            <w:r>
              <w:rPr>
                <w:rFonts w:ascii="Calibri" w:hAnsi="Calibri" w:eastAsia="Microsoft YaHei"/>
                <w:b w:val="0"/>
                <w:i w:val="0"/>
                <w:color w:val="202823"/>
                <w:sz w:val="19"/>
              </w:rPr>
              <w:t>“植物来源”描述的是部分原料来源，不自动等于无刺激、无残留、无污染或适合所有人群。吐枝将避免使用脱离证据的绝对化表述，并逐步建立产品级证据档案。</w:t>
            </w:r>
          </w:p>
        </w:tc>
      </w:tr>
    </w:tbl>
    <w:p>
      <w:pPr>
        <w:spacing w:after="0"/>
      </w:pPr>
    </w:p>
    <w:p>
      <w:r>
        <w:br w:type="page"/>
      </w:r>
    </w:p>
    <w:p>
      <w:pPr>
        <w:spacing w:after="100"/>
      </w:pPr>
      <w:r>
        <w:rPr>
          <w:rFonts w:ascii="Calibri" w:hAnsi="Calibri" w:eastAsia="Microsoft YaHei"/>
          <w:b/>
          <w:i w:val="0"/>
          <w:color w:val="68452B"/>
          <w:sz w:val="17"/>
        </w:rPr>
        <w:t>GOVERNANCE</w:t>
      </w:r>
    </w:p>
    <w:p>
      <w:pPr>
        <w:pStyle w:val="Title"/>
        <w:spacing w:after="140"/>
      </w:pPr>
      <w:r>
        <w:rPr>
          <w:rFonts w:ascii="Calibri" w:hAnsi="Calibri" w:eastAsia="Microsoft YaHei"/>
          <w:b/>
          <w:i w:val="0"/>
          <w:color w:val="173F35"/>
          <w:sz w:val="48"/>
        </w:rPr>
        <w:t>治理、利益相关方与重要议题</w:t>
      </w:r>
    </w:p>
    <w:p>
      <w:pPr>
        <w:spacing w:after="280"/>
      </w:pPr>
      <w:r>
        <w:rPr>
          <w:rFonts w:ascii="Calibri" w:hAnsi="Calibri" w:eastAsia="Microsoft YaHei"/>
          <w:b w:val="0"/>
          <w:i w:val="0"/>
          <w:color w:val="66706B"/>
          <w:sz w:val="21"/>
        </w:rPr>
        <w:t>一次初步的重要性识别</w:t>
      </w:r>
    </w:p>
    <w:p>
      <w:pPr>
        <w:spacing w:after="120" w:line="278" w:lineRule="auto"/>
      </w:pPr>
      <w:r>
        <w:rPr>
          <w:rFonts w:ascii="Calibri" w:hAnsi="Calibri" w:eastAsia="Microsoft YaHei"/>
          <w:b w:val="0"/>
          <w:i w:val="0"/>
          <w:color w:val="202823"/>
          <w:sz w:val="21"/>
        </w:rPr>
        <w:t>本次报告由公司管理团队统筹，结合经营数据、产品信息、合作项目记录及外部标准开展桌面梳理。由于尚未开展系统化双重重要性评估与利益相关方问卷，本次结果属于初步识别，不代表完整的利益相关方共识。</w:t>
      </w:r>
    </w:p>
    <w:p>
      <w:pPr>
        <w:pStyle w:val="Heading2"/>
        <w:keepNext/>
      </w:pPr>
      <w:r>
        <w:rPr>
          <w:rFonts w:ascii="Calibri" w:hAnsi="Calibri" w:eastAsia="Microsoft YaHei"/>
          <w:b/>
          <w:i w:val="0"/>
          <w:color w:val="68452B"/>
          <w:sz w:val="25"/>
        </w:rPr>
        <w:t>主要利益相关方</w:t>
      </w:r>
    </w:p>
    <w:tbl>
      <w:tblPr>
        <w:tblW w:type="auto" w:w="0"/>
        <w:jc w:val="center"/>
        <w:tblLayout w:type="fixed"/>
        <w:tblLook w:firstColumn="1" w:firstRow="1" w:lastColumn="0" w:lastRow="0" w:noHBand="0" w:noVBand="1" w:val="04A0"/>
      </w:tblPr>
      <w:tblGrid>
        <w:gridCol w:w="3120"/>
        <w:gridCol w:w="3120"/>
        <w:gridCol w:w="3120"/>
      </w:tblGrid>
      <w:tr>
        <w:trPr>
          <w:tblHeader w:val="true"/>
        </w:trPr>
        <w:tc>
          <w:tcPr>
            <w:tcW w:type="dxa" w:w="1944"/>
            <w:shd w:fill="173F35"/>
            <w:tcMar>
              <w:top w:w="100" w:type="dxa"/>
              <w:start w:w="110" w:type="dxa"/>
              <w:bottom w:w="100" w:type="dxa"/>
              <w:end w:w="110" w:type="dxa"/>
            </w:tcMar>
            <w:tcBorders>
              <w:top w:val="single" w:sz="4" w:color="FFFFFF"/>
              <w:left w:val="single" w:sz="4" w:color="FFFFFF"/>
              <w:bottom w:val="single" w:sz="4" w:color="FFFFFF"/>
              <w:right w:val="single" w:sz="4" w:color="FFFFFF"/>
            </w:tcBorders>
          </w:tcPr>
          <w:p>
            <w:pPr>
              <w:spacing w:after="0"/>
            </w:pPr>
            <w:r>
              <w:rPr>
                <w:rFonts w:ascii="Calibri" w:hAnsi="Calibri" w:eastAsia="Microsoft YaHei"/>
                <w:b/>
                <w:i w:val="0"/>
                <w:color w:val="FFFFFF"/>
                <w:sz w:val="16"/>
              </w:rPr>
              <w:t>利益相关方</w:t>
            </w:r>
          </w:p>
        </w:tc>
        <w:tc>
          <w:tcPr>
            <w:tcW w:type="dxa" w:w="4032"/>
            <w:shd w:fill="173F35"/>
            <w:tcMar>
              <w:top w:w="100" w:type="dxa"/>
              <w:start w:w="110" w:type="dxa"/>
              <w:bottom w:w="100" w:type="dxa"/>
              <w:end w:w="110" w:type="dxa"/>
            </w:tcMar>
            <w:tcBorders>
              <w:top w:val="single" w:sz="4" w:color="FFFFFF"/>
              <w:left w:val="single" w:sz="4" w:color="FFFFFF"/>
              <w:bottom w:val="single" w:sz="4" w:color="FFFFFF"/>
              <w:right w:val="single" w:sz="4" w:color="FFFFFF"/>
            </w:tcBorders>
          </w:tcPr>
          <w:p>
            <w:pPr>
              <w:spacing w:after="0"/>
            </w:pPr>
            <w:r>
              <w:rPr>
                <w:rFonts w:ascii="Calibri" w:hAnsi="Calibri" w:eastAsia="Microsoft YaHei"/>
                <w:b/>
                <w:i w:val="0"/>
                <w:color w:val="FFFFFF"/>
                <w:sz w:val="16"/>
              </w:rPr>
              <w:t>关注议题</w:t>
            </w:r>
          </w:p>
        </w:tc>
        <w:tc>
          <w:tcPr>
            <w:tcW w:type="dxa" w:w="3384"/>
            <w:shd w:fill="173F35"/>
            <w:tcMar>
              <w:top w:w="100" w:type="dxa"/>
              <w:start w:w="110" w:type="dxa"/>
              <w:bottom w:w="100" w:type="dxa"/>
              <w:end w:w="110" w:type="dxa"/>
            </w:tcMar>
            <w:tcBorders>
              <w:top w:val="single" w:sz="4" w:color="FFFFFF"/>
              <w:left w:val="single" w:sz="4" w:color="FFFFFF"/>
              <w:bottom w:val="single" w:sz="4" w:color="FFFFFF"/>
              <w:right w:val="single" w:sz="4" w:color="FFFFFF"/>
            </w:tcBorders>
          </w:tcPr>
          <w:p>
            <w:pPr>
              <w:spacing w:after="0"/>
            </w:pPr>
            <w:r>
              <w:rPr>
                <w:rFonts w:ascii="Calibri" w:hAnsi="Calibri" w:eastAsia="Microsoft YaHei"/>
                <w:b/>
                <w:i w:val="0"/>
                <w:color w:val="FFFFFF"/>
                <w:sz w:val="16"/>
              </w:rPr>
              <w:t>当前沟通方式</w:t>
            </w:r>
          </w:p>
        </w:tc>
      </w:tr>
      <w:tr>
        <w:tc>
          <w:tcPr>
            <w:tcW w:type="dxa" w:w="1944"/>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消费者</w:t>
            </w:r>
          </w:p>
        </w:tc>
        <w:tc>
          <w:tcPr>
            <w:tcW w:type="dxa" w:w="4032"/>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产品安全、成分、清洁效果、使用方法、价格</w:t>
            </w:r>
          </w:p>
        </w:tc>
        <w:tc>
          <w:tcPr>
            <w:tcW w:type="dxa" w:w="3384"/>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官网、产品标签、客服与内容栏目</w:t>
            </w:r>
          </w:p>
        </w:tc>
      </w:tr>
      <w:tr>
        <w:tc>
          <w:tcPr>
            <w:tcW w:type="dxa" w:w="1944"/>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员工与培训参与者</w:t>
            </w:r>
          </w:p>
        </w:tc>
        <w:tc>
          <w:tcPr>
            <w:tcW w:type="dxa" w:w="4032"/>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尊重、学习机会、工作适配与成长</w:t>
            </w:r>
          </w:p>
        </w:tc>
        <w:tc>
          <w:tcPr>
            <w:tcW w:type="dxa" w:w="3384"/>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日常沟通、培训与项目反馈</w:t>
            </w:r>
          </w:p>
        </w:tc>
      </w:tr>
      <w:tr>
        <w:tc>
          <w:tcPr>
            <w:tcW w:type="dxa" w:w="1944"/>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供应商与生产伙伴</w:t>
            </w:r>
          </w:p>
        </w:tc>
        <w:tc>
          <w:tcPr>
            <w:tcW w:type="dxa" w:w="4032"/>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质量、交付、合规、材料与数据</w:t>
            </w:r>
          </w:p>
        </w:tc>
        <w:tc>
          <w:tcPr>
            <w:tcW w:type="dxa" w:w="3384"/>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采购、样品确认、批次资料</w:t>
            </w:r>
          </w:p>
        </w:tc>
      </w:tr>
      <w:tr>
        <w:tc>
          <w:tcPr>
            <w:tcW w:type="dxa" w:w="1944"/>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社区与活动伙伴</w:t>
            </w:r>
          </w:p>
        </w:tc>
        <w:tc>
          <w:tcPr>
            <w:tcW w:type="dxa" w:w="4032"/>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议题价值、参与体验、资源支持</w:t>
            </w:r>
          </w:p>
        </w:tc>
        <w:tc>
          <w:tcPr>
            <w:tcW w:type="dxa" w:w="3384"/>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项目合作与现场活动</w:t>
            </w:r>
          </w:p>
        </w:tc>
      </w:tr>
      <w:tr>
        <w:tc>
          <w:tcPr>
            <w:tcW w:type="dxa" w:w="1944"/>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监管与行业机构</w:t>
            </w:r>
          </w:p>
        </w:tc>
        <w:tc>
          <w:tcPr>
            <w:tcW w:type="dxa" w:w="4032"/>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产品标准、宣传合规、环境信息</w:t>
            </w:r>
          </w:p>
        </w:tc>
        <w:tc>
          <w:tcPr>
            <w:tcW w:type="dxa" w:w="3384"/>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法规与标准跟踪</w:t>
            </w:r>
          </w:p>
        </w:tc>
      </w:tr>
    </w:tbl>
    <w:p>
      <w:pPr>
        <w:spacing w:after="0"/>
      </w:pPr>
    </w:p>
    <w:p>
      <w:pPr>
        <w:pStyle w:val="Heading2"/>
        <w:keepNext/>
      </w:pPr>
      <w:r>
        <w:rPr>
          <w:rFonts w:ascii="Calibri" w:hAnsi="Calibri" w:eastAsia="Microsoft YaHei"/>
          <w:b/>
          <w:i w:val="0"/>
          <w:color w:val="68452B"/>
          <w:sz w:val="25"/>
        </w:rPr>
        <w:t>2024—2025 初步重要议题</w:t>
      </w:r>
    </w:p>
    <w:tbl>
      <w:tblPr>
        <w:tblW w:type="auto" w:w="0"/>
        <w:jc w:val="center"/>
        <w:tblLayout w:type="fixed"/>
        <w:tblLook w:firstColumn="1" w:firstRow="1" w:lastColumn="0" w:lastRow="0" w:noHBand="0" w:noVBand="1" w:val="04A0"/>
      </w:tblPr>
      <w:tblGrid>
        <w:gridCol w:w="3120"/>
        <w:gridCol w:w="3120"/>
        <w:gridCol w:w="3120"/>
      </w:tblGrid>
      <w:tr>
        <w:trPr>
          <w:tblHeader w:val="true"/>
        </w:trPr>
        <w:tc>
          <w:tcPr>
            <w:tcW w:type="dxa" w:w="1152"/>
            <w:shd w:fill="173F35"/>
            <w:tcMar>
              <w:top w:w="100" w:type="dxa"/>
              <w:start w:w="110" w:type="dxa"/>
              <w:bottom w:w="100" w:type="dxa"/>
              <w:end w:w="110" w:type="dxa"/>
            </w:tcMar>
            <w:tcBorders>
              <w:top w:val="single" w:sz="4" w:color="FFFFFF"/>
              <w:left w:val="single" w:sz="4" w:color="FFFFFF"/>
              <w:bottom w:val="single" w:sz="4" w:color="FFFFFF"/>
              <w:right w:val="single" w:sz="4" w:color="FFFFFF"/>
            </w:tcBorders>
          </w:tcPr>
          <w:p>
            <w:pPr>
              <w:spacing w:after="0"/>
            </w:pPr>
            <w:r>
              <w:rPr>
                <w:rFonts w:ascii="Calibri" w:hAnsi="Calibri" w:eastAsia="Microsoft YaHei"/>
                <w:b/>
                <w:i w:val="0"/>
                <w:color w:val="FFFFFF"/>
                <w:sz w:val="16"/>
              </w:rPr>
              <w:t>优先级</w:t>
            </w:r>
          </w:p>
        </w:tc>
        <w:tc>
          <w:tcPr>
            <w:tcW w:type="dxa" w:w="3168"/>
            <w:shd w:fill="173F35"/>
            <w:tcMar>
              <w:top w:w="100" w:type="dxa"/>
              <w:start w:w="110" w:type="dxa"/>
              <w:bottom w:w="100" w:type="dxa"/>
              <w:end w:w="110" w:type="dxa"/>
            </w:tcMar>
            <w:tcBorders>
              <w:top w:val="single" w:sz="4" w:color="FFFFFF"/>
              <w:left w:val="single" w:sz="4" w:color="FFFFFF"/>
              <w:bottom w:val="single" w:sz="4" w:color="FFFFFF"/>
              <w:right w:val="single" w:sz="4" w:color="FFFFFF"/>
            </w:tcBorders>
          </w:tcPr>
          <w:p>
            <w:pPr>
              <w:spacing w:after="0"/>
            </w:pPr>
            <w:r>
              <w:rPr>
                <w:rFonts w:ascii="Calibri" w:hAnsi="Calibri" w:eastAsia="Microsoft YaHei"/>
                <w:b/>
                <w:i w:val="0"/>
                <w:color w:val="FFFFFF"/>
                <w:sz w:val="16"/>
              </w:rPr>
              <w:t>议题</w:t>
            </w:r>
          </w:p>
        </w:tc>
        <w:tc>
          <w:tcPr>
            <w:tcW w:type="dxa" w:w="5040"/>
            <w:shd w:fill="173F35"/>
            <w:tcMar>
              <w:top w:w="100" w:type="dxa"/>
              <w:start w:w="110" w:type="dxa"/>
              <w:bottom w:w="100" w:type="dxa"/>
              <w:end w:w="110" w:type="dxa"/>
            </w:tcMar>
            <w:tcBorders>
              <w:top w:val="single" w:sz="4" w:color="FFFFFF"/>
              <w:left w:val="single" w:sz="4" w:color="FFFFFF"/>
              <w:bottom w:val="single" w:sz="4" w:color="FFFFFF"/>
              <w:right w:val="single" w:sz="4" w:color="FFFFFF"/>
            </w:tcBorders>
          </w:tcPr>
          <w:p>
            <w:pPr>
              <w:spacing w:after="0"/>
            </w:pPr>
            <w:r>
              <w:rPr>
                <w:rFonts w:ascii="Calibri" w:hAnsi="Calibri" w:eastAsia="Microsoft YaHei"/>
                <w:b/>
                <w:i w:val="0"/>
                <w:color w:val="FFFFFF"/>
                <w:sz w:val="16"/>
              </w:rPr>
              <w:t>管理重点</w:t>
            </w:r>
          </w:p>
        </w:tc>
      </w:tr>
      <w:tr>
        <w:tc>
          <w:tcPr>
            <w:tcW w:type="dxa" w:w="1152"/>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高</w:t>
            </w:r>
          </w:p>
        </w:tc>
        <w:tc>
          <w:tcPr>
            <w:tcW w:type="dxa" w:w="3168"/>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产品质量与责任沟通</w:t>
            </w:r>
          </w:p>
        </w:tc>
        <w:tc>
          <w:tcPr>
            <w:tcW w:type="dxa" w:w="5040"/>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标签、用法、证据边界、投诉与纠正</w:t>
            </w:r>
          </w:p>
        </w:tc>
      </w:tr>
      <w:tr>
        <w:tc>
          <w:tcPr>
            <w:tcW w:type="dxa" w:w="1152"/>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高</w:t>
            </w:r>
          </w:p>
        </w:tc>
        <w:tc>
          <w:tcPr>
            <w:tcW w:type="dxa" w:w="3168"/>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包装与运输减量</w:t>
            </w:r>
          </w:p>
        </w:tc>
        <w:tc>
          <w:tcPr>
            <w:tcW w:type="dxa" w:w="5040"/>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活动量记录、包装称重、物流数据</w:t>
            </w:r>
          </w:p>
        </w:tc>
      </w:tr>
      <w:tr>
        <w:tc>
          <w:tcPr>
            <w:tcW w:type="dxa" w:w="1152"/>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高</w:t>
            </w:r>
          </w:p>
        </w:tc>
        <w:tc>
          <w:tcPr>
            <w:tcW w:type="dxa" w:w="3168"/>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成分与水环境</w:t>
            </w:r>
          </w:p>
        </w:tc>
        <w:tc>
          <w:tcPr>
            <w:tcW w:type="dxa" w:w="5040"/>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供应链资料、生物降解与生态毒性证据</w:t>
            </w:r>
          </w:p>
        </w:tc>
      </w:tr>
      <w:tr>
        <w:tc>
          <w:tcPr>
            <w:tcW w:type="dxa" w:w="1152"/>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中高</w:t>
            </w:r>
          </w:p>
        </w:tc>
        <w:tc>
          <w:tcPr>
            <w:tcW w:type="dxa" w:w="3168"/>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经济韧性</w:t>
            </w:r>
          </w:p>
        </w:tc>
        <w:tc>
          <w:tcPr>
            <w:tcW w:type="dxa" w:w="5040"/>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稳定收入、供应链与合规投入</w:t>
            </w:r>
          </w:p>
        </w:tc>
      </w:tr>
      <w:tr>
        <w:tc>
          <w:tcPr>
            <w:tcW w:type="dxa" w:w="1152"/>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中高</w:t>
            </w:r>
          </w:p>
        </w:tc>
        <w:tc>
          <w:tcPr>
            <w:tcW w:type="dxa" w:w="3168"/>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包容性培训</w:t>
            </w:r>
          </w:p>
        </w:tc>
        <w:tc>
          <w:tcPr>
            <w:tcW w:type="dxa" w:w="5040"/>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培训质量、参与者权益与后续去向</w:t>
            </w:r>
          </w:p>
        </w:tc>
      </w:tr>
      <w:tr>
        <w:tc>
          <w:tcPr>
            <w:tcW w:type="dxa" w:w="1152"/>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中</w:t>
            </w:r>
          </w:p>
        </w:tc>
        <w:tc>
          <w:tcPr>
            <w:tcW w:type="dxa" w:w="3168"/>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社区与文化伙伴关系</w:t>
            </w:r>
          </w:p>
        </w:tc>
        <w:tc>
          <w:tcPr>
            <w:tcW w:type="dxa" w:w="5040"/>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合作目标、资源投入与成果复盘</w:t>
            </w:r>
          </w:p>
        </w:tc>
      </w:tr>
    </w:tbl>
    <w:p>
      <w:pPr>
        <w:spacing w:after="0"/>
      </w:pPr>
    </w:p>
    <w:p>
      <w:r>
        <w:br w:type="page"/>
      </w:r>
    </w:p>
    <w:p>
      <w:pPr>
        <w:spacing w:after="100"/>
      </w:pPr>
      <w:r>
        <w:rPr>
          <w:rFonts w:ascii="Calibri" w:hAnsi="Calibri" w:eastAsia="Microsoft YaHei"/>
          <w:b/>
          <w:i w:val="0"/>
          <w:color w:val="68452B"/>
          <w:sz w:val="17"/>
        </w:rPr>
        <w:t>ECONOMIC</w:t>
      </w:r>
    </w:p>
    <w:p>
      <w:pPr>
        <w:pStyle w:val="Title"/>
        <w:spacing w:after="140"/>
      </w:pPr>
      <w:r>
        <w:rPr>
          <w:rFonts w:ascii="Calibri" w:hAnsi="Calibri" w:eastAsia="Microsoft YaHei"/>
          <w:b/>
          <w:i w:val="0"/>
          <w:color w:val="173F35"/>
          <w:sz w:val="48"/>
        </w:rPr>
        <w:t>以经营延续可持续选择</w:t>
      </w:r>
    </w:p>
    <w:p>
      <w:pPr>
        <w:spacing w:after="280"/>
      </w:pPr>
      <w:r>
        <w:rPr>
          <w:rFonts w:ascii="Calibri" w:hAnsi="Calibri" w:eastAsia="Microsoft YaHei"/>
          <w:b w:val="0"/>
          <w:i w:val="0"/>
          <w:color w:val="66706B"/>
          <w:sz w:val="21"/>
        </w:rPr>
        <w:t>GRI 201：经济绩效（部分披露）</w:t>
      </w:r>
    </w:p>
    <w:tbl>
      <w:tblPr>
        <w:tblW w:type="auto" w:w="0"/>
        <w:jc w:val="center"/>
        <w:tblLayout w:type="fixed"/>
        <w:tblLook w:firstColumn="1" w:firstRow="1" w:lastColumn="0" w:lastRow="0" w:noHBand="0" w:noVBand="1" w:val="04A0"/>
      </w:tblPr>
      <w:tblGrid>
        <w:gridCol w:w="9360"/>
      </w:tblGrid>
      <w:tr>
        <w:tc>
          <w:tcPr>
            <w:tcW w:type="dxa" w:w="9360"/>
            <w:vAlign w:val="center"/>
            <w:shd w:fill="F7F3EB"/>
            <w:tcMar>
              <w:top w:w="180" w:type="dxa"/>
              <w:start w:w="120" w:type="dxa"/>
              <w:bottom w:w="180" w:type="dxa"/>
              <w:end w:w="120" w:type="dxa"/>
            </w:tcMar>
            <w:tcBorders>
              <w:top w:val="single" w:sz="5" w:color="D7D8D2"/>
              <w:left w:val="single" w:sz="5" w:color="D7D8D2"/>
              <w:bottom w:val="single" w:sz="5" w:color="D7D8D2"/>
              <w:right w:val="single" w:sz="5" w:color="D7D8D2"/>
            </w:tcBorders>
          </w:tcPr>
          <w:p>
            <w:pPr>
              <w:spacing w:after="40"/>
              <w:jc w:val="center"/>
            </w:pPr>
            <w:r>
              <w:rPr>
                <w:rFonts w:ascii="Calibri" w:hAnsi="Calibri" w:eastAsia="Microsoft YaHei"/>
                <w:b/>
                <w:i w:val="0"/>
                <w:color w:val="173F35"/>
                <w:sz w:val="34"/>
              </w:rPr>
              <w:t>1,220,000 元</w:t>
            </w:r>
          </w:p>
          <w:p>
            <w:pPr>
              <w:spacing w:after="40"/>
              <w:jc w:val="center"/>
            </w:pPr>
            <w:r>
              <w:rPr>
                <w:rFonts w:ascii="Calibri" w:hAnsi="Calibri" w:eastAsia="Microsoft YaHei"/>
                <w:b/>
                <w:i w:val="0"/>
                <w:color w:val="68452B"/>
                <w:sz w:val="17"/>
              </w:rPr>
              <w:t>2024—2025 营业收入</w:t>
            </w:r>
          </w:p>
          <w:p>
            <w:pPr>
              <w:spacing w:after="0"/>
              <w:jc w:val="center"/>
            </w:pPr>
            <w:r>
              <w:rPr>
                <w:rFonts w:ascii="Calibri" w:hAnsi="Calibri" w:eastAsia="Microsoft YaHei"/>
                <w:b w:val="0"/>
                <w:i w:val="0"/>
                <w:color w:val="66706B"/>
                <w:sz w:val="14"/>
              </w:rPr>
              <w:t>两年合计；公司财务口径</w:t>
            </w:r>
          </w:p>
        </w:tc>
      </w:tr>
    </w:tbl>
    <w:p>
      <w:pPr>
        <w:spacing w:after="0"/>
      </w:pPr>
    </w:p>
    <w:p>
      <w:pPr>
        <w:spacing w:after="120" w:line="278" w:lineRule="auto"/>
      </w:pPr>
      <w:r>
        <w:rPr>
          <w:rFonts w:ascii="Calibri" w:hAnsi="Calibri" w:eastAsia="Microsoft YaHei"/>
          <w:b w:val="0"/>
          <w:i w:val="0"/>
          <w:color w:val="202823"/>
          <w:sz w:val="21"/>
        </w:rPr>
        <w:t>报告期内，吐枝创造营业收入 122 万元。对于小规模品牌而言，收入意味着产品设计、供应链合作、质量管理、就业与社会项目能够获得持续投入的基础。</w:t>
      </w:r>
    </w:p>
    <w:p>
      <w:pPr>
        <w:spacing w:after="120" w:line="278" w:lineRule="auto"/>
      </w:pPr>
      <w:r>
        <w:rPr>
          <w:rFonts w:ascii="Calibri" w:hAnsi="Calibri" w:eastAsia="Microsoft YaHei"/>
          <w:b w:val="0"/>
          <w:i w:val="0"/>
          <w:color w:val="202823"/>
          <w:sz w:val="21"/>
        </w:rPr>
        <w:t>本报告仅披露营业收入，尚不能构成 GRI 201-1 所要求的完整“直接产生和分配的经济价值”。运营成本、员工工资福利、税费、资本成本与社区投入等项目将在后续数据制度建立后按统一口径披露。</w:t>
      </w:r>
    </w:p>
    <w:p>
      <w:pPr>
        <w:pStyle w:val="Heading2"/>
        <w:keepNext/>
      </w:pPr>
      <w:r>
        <w:rPr>
          <w:rFonts w:ascii="Calibri" w:hAnsi="Calibri" w:eastAsia="Microsoft YaHei"/>
          <w:b/>
          <w:i w:val="0"/>
          <w:color w:val="68452B"/>
          <w:sz w:val="25"/>
        </w:rPr>
        <w:t>下一步财务透明度</w:t>
      </w:r>
    </w:p>
    <w:tbl>
      <w:tblPr>
        <w:tblW w:type="auto" w:w="0"/>
        <w:jc w:val="center"/>
        <w:tblLayout w:type="fixed"/>
        <w:tblLook w:firstColumn="1" w:firstRow="1" w:lastColumn="0" w:lastRow="0" w:noHBand="0" w:noVBand="1" w:val="04A0"/>
      </w:tblPr>
      <w:tblGrid>
        <w:gridCol w:w="3120"/>
        <w:gridCol w:w="3120"/>
        <w:gridCol w:w="3120"/>
      </w:tblGrid>
      <w:tr>
        <w:trPr>
          <w:tblHeader w:val="true"/>
        </w:trPr>
        <w:tc>
          <w:tcPr>
            <w:tcW w:type="dxa" w:w="2376"/>
            <w:shd w:fill="173F35"/>
            <w:tcMar>
              <w:top w:w="100" w:type="dxa"/>
              <w:start w:w="110" w:type="dxa"/>
              <w:bottom w:w="100" w:type="dxa"/>
              <w:end w:w="110" w:type="dxa"/>
            </w:tcMar>
            <w:tcBorders>
              <w:top w:val="single" w:sz="4" w:color="FFFFFF"/>
              <w:left w:val="single" w:sz="4" w:color="FFFFFF"/>
              <w:bottom w:val="single" w:sz="4" w:color="FFFFFF"/>
              <w:right w:val="single" w:sz="4" w:color="FFFFFF"/>
            </w:tcBorders>
          </w:tcPr>
          <w:p>
            <w:pPr>
              <w:spacing w:after="0"/>
            </w:pPr>
            <w:r>
              <w:rPr>
                <w:rFonts w:ascii="Calibri" w:hAnsi="Calibri" w:eastAsia="Microsoft YaHei"/>
                <w:b/>
                <w:i w:val="0"/>
                <w:color w:val="FFFFFF"/>
                <w:sz w:val="16"/>
              </w:rPr>
              <w:t>数据项</w:t>
            </w:r>
          </w:p>
        </w:tc>
        <w:tc>
          <w:tcPr>
            <w:tcW w:type="dxa" w:w="2952"/>
            <w:shd w:fill="173F35"/>
            <w:tcMar>
              <w:top w:w="100" w:type="dxa"/>
              <w:start w:w="110" w:type="dxa"/>
              <w:bottom w:w="100" w:type="dxa"/>
              <w:end w:w="110" w:type="dxa"/>
            </w:tcMar>
            <w:tcBorders>
              <w:top w:val="single" w:sz="4" w:color="FFFFFF"/>
              <w:left w:val="single" w:sz="4" w:color="FFFFFF"/>
              <w:bottom w:val="single" w:sz="4" w:color="FFFFFF"/>
              <w:right w:val="single" w:sz="4" w:color="FFFFFF"/>
            </w:tcBorders>
          </w:tcPr>
          <w:p>
            <w:pPr>
              <w:spacing w:after="0"/>
            </w:pPr>
            <w:r>
              <w:rPr>
                <w:rFonts w:ascii="Calibri" w:hAnsi="Calibri" w:eastAsia="Microsoft YaHei"/>
                <w:b/>
                <w:i w:val="0"/>
                <w:color w:val="FFFFFF"/>
                <w:sz w:val="16"/>
              </w:rPr>
              <w:t>本期状态</w:t>
            </w:r>
          </w:p>
        </w:tc>
        <w:tc>
          <w:tcPr>
            <w:tcW w:type="dxa" w:w="4032"/>
            <w:shd w:fill="173F35"/>
            <w:tcMar>
              <w:top w:w="100" w:type="dxa"/>
              <w:start w:w="110" w:type="dxa"/>
              <w:bottom w:w="100" w:type="dxa"/>
              <w:end w:w="110" w:type="dxa"/>
            </w:tcMar>
            <w:tcBorders>
              <w:top w:val="single" w:sz="4" w:color="FFFFFF"/>
              <w:left w:val="single" w:sz="4" w:color="FFFFFF"/>
              <w:bottom w:val="single" w:sz="4" w:color="FFFFFF"/>
              <w:right w:val="single" w:sz="4" w:color="FFFFFF"/>
            </w:tcBorders>
          </w:tcPr>
          <w:p>
            <w:pPr>
              <w:spacing w:after="0"/>
            </w:pPr>
            <w:r>
              <w:rPr>
                <w:rFonts w:ascii="Calibri" w:hAnsi="Calibri" w:eastAsia="Microsoft YaHei"/>
                <w:b/>
                <w:i w:val="0"/>
                <w:color w:val="FFFFFF"/>
                <w:sz w:val="16"/>
              </w:rPr>
              <w:t>下一周期动作</w:t>
            </w:r>
          </w:p>
        </w:tc>
      </w:tr>
      <w:tr>
        <w:tc>
          <w:tcPr>
            <w:tcW w:type="dxa" w:w="2376"/>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营业收入</w:t>
            </w:r>
          </w:p>
        </w:tc>
        <w:tc>
          <w:tcPr>
            <w:tcW w:type="dxa" w:w="2952"/>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已披露两年合计</w:t>
            </w:r>
          </w:p>
        </w:tc>
        <w:tc>
          <w:tcPr>
            <w:tcW w:type="dxa" w:w="4032"/>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按年度拆分并说明口径</w:t>
            </w:r>
          </w:p>
        </w:tc>
      </w:tr>
      <w:tr>
        <w:tc>
          <w:tcPr>
            <w:tcW w:type="dxa" w:w="2376"/>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运营成本</w:t>
            </w:r>
          </w:p>
        </w:tc>
        <w:tc>
          <w:tcPr>
            <w:tcW w:type="dxa" w:w="2952"/>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未披露</w:t>
            </w:r>
          </w:p>
        </w:tc>
        <w:tc>
          <w:tcPr>
            <w:tcW w:type="dxa" w:w="4032"/>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建立科目映射与复核流程</w:t>
            </w:r>
          </w:p>
        </w:tc>
      </w:tr>
      <w:tr>
        <w:tc>
          <w:tcPr>
            <w:tcW w:type="dxa" w:w="2376"/>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员工薪酬福利</w:t>
            </w:r>
          </w:p>
        </w:tc>
        <w:tc>
          <w:tcPr>
            <w:tcW w:type="dxa" w:w="2952"/>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未披露</w:t>
            </w:r>
          </w:p>
        </w:tc>
        <w:tc>
          <w:tcPr>
            <w:tcW w:type="dxa" w:w="4032"/>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汇总并保护个人隐私</w:t>
            </w:r>
          </w:p>
        </w:tc>
      </w:tr>
      <w:tr>
        <w:tc>
          <w:tcPr>
            <w:tcW w:type="dxa" w:w="2376"/>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税费与社区投入</w:t>
            </w:r>
          </w:p>
        </w:tc>
        <w:tc>
          <w:tcPr>
            <w:tcW w:type="dxa" w:w="2952"/>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未披露</w:t>
            </w:r>
          </w:p>
        </w:tc>
        <w:tc>
          <w:tcPr>
            <w:tcW w:type="dxa" w:w="4032"/>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区分税费、赞助与公益投入</w:t>
            </w:r>
          </w:p>
        </w:tc>
      </w:tr>
    </w:tbl>
    <w:p>
      <w:pPr>
        <w:spacing w:after="0"/>
      </w:pPr>
    </w:p>
    <w:tbl>
      <w:tblPr>
        <w:tblW w:type="auto" w:w="0"/>
        <w:jc w:val="center"/>
        <w:tblLayout w:type="fixed"/>
        <w:tblLook w:firstColumn="1" w:firstRow="1" w:lastColumn="0" w:lastRow="0" w:noHBand="0" w:noVBand="1" w:val="04A0"/>
      </w:tblPr>
      <w:tblGrid>
        <w:gridCol w:w="9360"/>
      </w:tblGrid>
      <w:tr>
        <w:tc>
          <w:tcPr>
            <w:tcW w:type="dxa" w:w="9360"/>
            <w:shd w:fill="E9EFEA"/>
            <w:tcMar>
              <w:top w:w="190" w:type="dxa"/>
              <w:start w:w="220" w:type="dxa"/>
              <w:bottom w:w="190" w:type="dxa"/>
              <w:end w:w="220" w:type="dxa"/>
            </w:tcMar>
            <w:tcBorders>
              <w:top w:val="single" w:sz="6" w:color="E8D8BF"/>
              <w:left w:val="single" w:sz="6" w:color="E8D8BF"/>
              <w:bottom w:val="single" w:sz="6" w:color="E8D8BF"/>
              <w:right w:val="single" w:sz="6" w:color="E8D8BF"/>
            </w:tcBorders>
          </w:tcPr>
          <w:p>
            <w:pPr>
              <w:spacing w:after="60"/>
            </w:pPr>
            <w:r>
              <w:rPr>
                <w:rFonts w:ascii="Calibri" w:hAnsi="Calibri" w:eastAsia="Microsoft YaHei"/>
                <w:b/>
                <w:i w:val="0"/>
                <w:color w:val="173F35"/>
                <w:sz w:val="22"/>
              </w:rPr>
              <w:t>管理原则</w:t>
            </w:r>
          </w:p>
          <w:p>
            <w:pPr>
              <w:spacing w:after="0" w:line="269" w:lineRule="auto"/>
            </w:pPr>
            <w:r>
              <w:rPr>
                <w:rFonts w:ascii="Calibri" w:hAnsi="Calibri" w:eastAsia="Microsoft YaHei"/>
                <w:b w:val="0"/>
                <w:i w:val="0"/>
                <w:color w:val="202823"/>
                <w:sz w:val="19"/>
              </w:rPr>
              <w:t>经济增长不是环境与社会价值的替代指标。吐枝将把收入、产品责任、资源效率与包容性项目分别记录，再评估它们之间的关联。</w:t>
            </w:r>
          </w:p>
        </w:tc>
      </w:tr>
    </w:tbl>
    <w:p>
      <w:pPr>
        <w:spacing w:after="0"/>
      </w:pPr>
    </w:p>
    <w:p>
      <w:r>
        <w:br w:type="page"/>
      </w:r>
    </w:p>
    <w:p>
      <w:pPr>
        <w:spacing w:after="100"/>
      </w:pPr>
      <w:r>
        <w:rPr>
          <w:rFonts w:ascii="Calibri" w:hAnsi="Calibri" w:eastAsia="Microsoft YaHei"/>
          <w:b/>
          <w:i w:val="0"/>
          <w:color w:val="68452B"/>
          <w:sz w:val="17"/>
        </w:rPr>
        <w:t>ENVIRONMENT · PACKAGING</w:t>
      </w:r>
    </w:p>
    <w:p>
      <w:pPr>
        <w:pStyle w:val="Title"/>
        <w:spacing w:after="140"/>
      </w:pPr>
      <w:r>
        <w:rPr>
          <w:rFonts w:ascii="Calibri" w:hAnsi="Calibri" w:eastAsia="Microsoft YaHei"/>
          <w:b/>
          <w:i w:val="0"/>
          <w:color w:val="173F35"/>
          <w:sz w:val="48"/>
        </w:rPr>
        <w:t>从瓶装到片状：先减少需要运输与处置的东西</w:t>
      </w:r>
    </w:p>
    <w:p>
      <w:pPr>
        <w:spacing w:after="280"/>
      </w:pPr>
      <w:r>
        <w:rPr>
          <w:rFonts w:ascii="Calibri" w:hAnsi="Calibri" w:eastAsia="Microsoft YaHei"/>
          <w:b w:val="0"/>
          <w:i w:val="0"/>
          <w:color w:val="66706B"/>
          <w:sz w:val="21"/>
        </w:rPr>
        <w:t>包装与废弃物预防</w:t>
      </w:r>
    </w:p>
    <w:p>
      <w:pPr>
        <w:spacing w:after="120" w:line="278" w:lineRule="auto"/>
      </w:pPr>
      <w:r>
        <w:rPr>
          <w:rFonts w:ascii="Calibri" w:hAnsi="Calibri" w:eastAsia="Microsoft YaHei"/>
          <w:b w:val="0"/>
          <w:i w:val="0"/>
          <w:color w:val="202823"/>
          <w:sz w:val="21"/>
        </w:rPr>
        <w:t>洗衣片采用轻量、固体的产品形态。按照公司内部销量与替代假设，报告期内洗衣片替代了约 10,000 个 2.5 kg 瓶装洗衣液的使用场景。这一指标用于观察产品形态变化，并不直接代表减少了 10,000 个塑料瓶进入废弃物流。</w:t>
      </w:r>
    </w:p>
    <w:tbl>
      <w:tblPr>
        <w:tblW w:type="auto" w:w="0"/>
        <w:jc w:val="center"/>
        <w:tblLayout w:type="fixed"/>
        <w:tblLook w:firstColumn="1" w:firstRow="1" w:lastColumn="0" w:lastRow="0" w:noHBand="0" w:noVBand="1" w:val="04A0"/>
      </w:tblPr>
      <w:tblGrid>
        <w:gridCol w:w="9360"/>
      </w:tblGrid>
      <w:tr>
        <w:tc>
          <w:tcPr>
            <w:tcW w:type="dxa" w:w="9360"/>
            <w:vAlign w:val="center"/>
            <w:shd w:fill="F7F3EB"/>
            <w:tcMar>
              <w:top w:w="180" w:type="dxa"/>
              <w:start w:w="120" w:type="dxa"/>
              <w:bottom w:w="180" w:type="dxa"/>
              <w:end w:w="120" w:type="dxa"/>
            </w:tcMar>
            <w:tcBorders>
              <w:top w:val="single" w:sz="5" w:color="D7D8D2"/>
              <w:left w:val="single" w:sz="5" w:color="D7D8D2"/>
              <w:bottom w:val="single" w:sz="5" w:color="D7D8D2"/>
              <w:right w:val="single" w:sz="5" w:color="D7D8D2"/>
            </w:tcBorders>
          </w:tcPr>
          <w:p>
            <w:pPr>
              <w:spacing w:after="40"/>
              <w:jc w:val="center"/>
            </w:pPr>
            <w:r>
              <w:rPr>
                <w:rFonts w:ascii="Calibri" w:hAnsi="Calibri" w:eastAsia="Microsoft YaHei"/>
                <w:b/>
                <w:i w:val="0"/>
                <w:color w:val="173F35"/>
                <w:sz w:val="34"/>
              </w:rPr>
              <w:t>约 10,000 个</w:t>
            </w:r>
          </w:p>
          <w:p>
            <w:pPr>
              <w:spacing w:after="40"/>
              <w:jc w:val="center"/>
            </w:pPr>
            <w:r>
              <w:rPr>
                <w:rFonts w:ascii="Calibri" w:hAnsi="Calibri" w:eastAsia="Microsoft YaHei"/>
                <w:b/>
                <w:i w:val="0"/>
                <w:color w:val="68452B"/>
                <w:sz w:val="17"/>
              </w:rPr>
              <w:t>2.5 kg 瓶装替代当量</w:t>
            </w:r>
          </w:p>
          <w:p>
            <w:pPr>
              <w:spacing w:after="0"/>
              <w:jc w:val="center"/>
            </w:pPr>
            <w:r>
              <w:rPr>
                <w:rFonts w:ascii="Calibri" w:hAnsi="Calibri" w:eastAsia="Microsoft YaHei"/>
                <w:b w:val="0"/>
                <w:i w:val="0"/>
                <w:color w:val="66706B"/>
                <w:sz w:val="14"/>
              </w:rPr>
              <w:t>公司内部估算；未经第三方鉴证</w:t>
            </w:r>
          </w:p>
        </w:tc>
      </w:tr>
    </w:tbl>
    <w:p>
      <w:pPr>
        <w:spacing w:after="0"/>
      </w:pPr>
    </w:p>
    <w:p>
      <w:pPr>
        <w:pStyle w:val="Heading2"/>
        <w:keepNext/>
      </w:pPr>
      <w:r>
        <w:rPr>
          <w:rFonts w:ascii="Calibri" w:hAnsi="Calibri" w:eastAsia="Microsoft YaHei"/>
          <w:b/>
          <w:i w:val="0"/>
          <w:color w:val="68452B"/>
          <w:sz w:val="25"/>
        </w:rPr>
        <w:t>估算边界</w:t>
      </w:r>
    </w:p>
    <w:tbl>
      <w:tblPr>
        <w:tblW w:type="auto" w:w="0"/>
        <w:jc w:val="center"/>
        <w:tblLayout w:type="fixed"/>
        <w:tblLook w:firstColumn="1" w:firstRow="1" w:lastColumn="0" w:lastRow="0" w:noHBand="0" w:noVBand="1" w:val="04A0"/>
      </w:tblPr>
      <w:tblGrid>
        <w:gridCol w:w="3120"/>
        <w:gridCol w:w="3120"/>
        <w:gridCol w:w="3120"/>
      </w:tblGrid>
      <w:tr>
        <w:trPr>
          <w:tblHeader w:val="true"/>
        </w:trPr>
        <w:tc>
          <w:tcPr>
            <w:tcW w:type="dxa" w:w="1944"/>
            <w:shd w:fill="173F35"/>
            <w:tcMar>
              <w:top w:w="100" w:type="dxa"/>
              <w:start w:w="110" w:type="dxa"/>
              <w:bottom w:w="100" w:type="dxa"/>
              <w:end w:w="110" w:type="dxa"/>
            </w:tcMar>
            <w:tcBorders>
              <w:top w:val="single" w:sz="4" w:color="FFFFFF"/>
              <w:left w:val="single" w:sz="4" w:color="FFFFFF"/>
              <w:bottom w:val="single" w:sz="4" w:color="FFFFFF"/>
              <w:right w:val="single" w:sz="4" w:color="FFFFFF"/>
            </w:tcBorders>
          </w:tcPr>
          <w:p>
            <w:pPr>
              <w:spacing w:after="0"/>
            </w:pPr>
            <w:r>
              <w:rPr>
                <w:rFonts w:ascii="Calibri" w:hAnsi="Calibri" w:eastAsia="Microsoft YaHei"/>
                <w:b/>
                <w:i w:val="0"/>
                <w:color w:val="FFFFFF"/>
                <w:sz w:val="16"/>
              </w:rPr>
              <w:t>项目</w:t>
            </w:r>
          </w:p>
        </w:tc>
        <w:tc>
          <w:tcPr>
            <w:tcW w:type="dxa" w:w="3672"/>
            <w:shd w:fill="173F35"/>
            <w:tcMar>
              <w:top w:w="100" w:type="dxa"/>
              <w:start w:w="110" w:type="dxa"/>
              <w:bottom w:w="100" w:type="dxa"/>
              <w:end w:w="110" w:type="dxa"/>
            </w:tcMar>
            <w:tcBorders>
              <w:top w:val="single" w:sz="4" w:color="FFFFFF"/>
              <w:left w:val="single" w:sz="4" w:color="FFFFFF"/>
              <w:bottom w:val="single" w:sz="4" w:color="FFFFFF"/>
              <w:right w:val="single" w:sz="4" w:color="FFFFFF"/>
            </w:tcBorders>
          </w:tcPr>
          <w:p>
            <w:pPr>
              <w:spacing w:after="0"/>
            </w:pPr>
            <w:r>
              <w:rPr>
                <w:rFonts w:ascii="Calibri" w:hAnsi="Calibri" w:eastAsia="Microsoft YaHei"/>
                <w:b/>
                <w:i w:val="0"/>
                <w:color w:val="FFFFFF"/>
                <w:sz w:val="16"/>
              </w:rPr>
              <w:t>本期做法</w:t>
            </w:r>
          </w:p>
        </w:tc>
        <w:tc>
          <w:tcPr>
            <w:tcW w:type="dxa" w:w="3744"/>
            <w:shd w:fill="173F35"/>
            <w:tcMar>
              <w:top w:w="100" w:type="dxa"/>
              <w:start w:w="110" w:type="dxa"/>
              <w:bottom w:w="100" w:type="dxa"/>
              <w:end w:w="110" w:type="dxa"/>
            </w:tcMar>
            <w:tcBorders>
              <w:top w:val="single" w:sz="4" w:color="FFFFFF"/>
              <w:left w:val="single" w:sz="4" w:color="FFFFFF"/>
              <w:bottom w:val="single" w:sz="4" w:color="FFFFFF"/>
              <w:right w:val="single" w:sz="4" w:color="FFFFFF"/>
            </w:tcBorders>
          </w:tcPr>
          <w:p>
            <w:pPr>
              <w:spacing w:after="0"/>
            </w:pPr>
            <w:r>
              <w:rPr>
                <w:rFonts w:ascii="Calibri" w:hAnsi="Calibri" w:eastAsia="Microsoft YaHei"/>
                <w:b/>
                <w:i w:val="0"/>
                <w:color w:val="FFFFFF"/>
                <w:sz w:val="16"/>
              </w:rPr>
              <w:t>仍需补充</w:t>
            </w:r>
          </w:p>
        </w:tc>
      </w:tr>
      <w:tr>
        <w:tc>
          <w:tcPr>
            <w:tcW w:type="dxa" w:w="1944"/>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替代单位</w:t>
            </w:r>
          </w:p>
        </w:tc>
        <w:tc>
          <w:tcPr>
            <w:tcW w:type="dxa" w:w="3672"/>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以 2.5 kg 瓶装洗衣液为参照</w:t>
            </w:r>
          </w:p>
        </w:tc>
        <w:tc>
          <w:tcPr>
            <w:tcW w:type="dxa" w:w="3744"/>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核对每种洗衣片规格与等效洗涤次数</w:t>
            </w:r>
          </w:p>
        </w:tc>
      </w:tr>
      <w:tr>
        <w:tc>
          <w:tcPr>
            <w:tcW w:type="dxa" w:w="1944"/>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瓶子数量</w:t>
            </w:r>
          </w:p>
        </w:tc>
        <w:tc>
          <w:tcPr>
            <w:tcW w:type="dxa" w:w="3672"/>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以销售与替代假设估算</w:t>
            </w:r>
          </w:p>
        </w:tc>
        <w:tc>
          <w:tcPr>
            <w:tcW w:type="dxa" w:w="3744"/>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保存 SKU、订单、退货与渠道数据</w:t>
            </w:r>
          </w:p>
        </w:tc>
      </w:tr>
      <w:tr>
        <w:tc>
          <w:tcPr>
            <w:tcW w:type="dxa" w:w="1944"/>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塑料质量</w:t>
            </w:r>
          </w:p>
        </w:tc>
        <w:tc>
          <w:tcPr>
            <w:tcW w:type="dxa" w:w="3672"/>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未计算</w:t>
            </w:r>
          </w:p>
        </w:tc>
        <w:tc>
          <w:tcPr>
            <w:tcW w:type="dxa" w:w="3744"/>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实测瓶身、泵头、标签与外包装单重</w:t>
            </w:r>
          </w:p>
        </w:tc>
      </w:tr>
      <w:tr>
        <w:tc>
          <w:tcPr>
            <w:tcW w:type="dxa" w:w="1944"/>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废弃物去向</w:t>
            </w:r>
          </w:p>
        </w:tc>
        <w:tc>
          <w:tcPr>
            <w:tcW w:type="dxa" w:w="3672"/>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未跟踪</w:t>
            </w:r>
          </w:p>
        </w:tc>
        <w:tc>
          <w:tcPr>
            <w:tcW w:type="dxa" w:w="3744"/>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结合地区回收条件与消费者调研</w:t>
            </w:r>
          </w:p>
        </w:tc>
      </w:tr>
    </w:tbl>
    <w:p>
      <w:pPr>
        <w:spacing w:after="0"/>
      </w:pPr>
    </w:p>
    <w:p>
      <w:pPr>
        <w:spacing w:after="120" w:line="278" w:lineRule="auto"/>
      </w:pPr>
      <w:r>
        <w:rPr>
          <w:rFonts w:ascii="Calibri" w:hAnsi="Calibri" w:eastAsia="Microsoft YaHei"/>
          <w:b w:val="0"/>
          <w:i w:val="0"/>
          <w:color w:val="202823"/>
          <w:sz w:val="21"/>
        </w:rPr>
        <w:t>依照 GRI 306 的思路，优先级应是预防废弃物产生，其次才是回收与处置。吐枝目前可以披露“瓶装替代当量”，但在获得包装重量与去向证据前，不把它转换为“减少多少吨塑料”或“100% 不产生包装废弃物”。</w:t>
      </w:r>
    </w:p>
    <w:p>
      <w:r>
        <w:br w:type="page"/>
      </w:r>
    </w:p>
    <w:p>
      <w:pPr>
        <w:spacing w:after="100"/>
      </w:pPr>
      <w:r>
        <w:rPr>
          <w:rFonts w:ascii="Calibri" w:hAnsi="Calibri" w:eastAsia="Microsoft YaHei"/>
          <w:b/>
          <w:i w:val="0"/>
          <w:color w:val="68452B"/>
          <w:sz w:val="17"/>
        </w:rPr>
        <w:t>ENVIRONMENT · LOGISTICS</w:t>
      </w:r>
    </w:p>
    <w:p>
      <w:pPr>
        <w:pStyle w:val="Title"/>
        <w:spacing w:after="140"/>
      </w:pPr>
      <w:r>
        <w:rPr>
          <w:rFonts w:ascii="Calibri" w:hAnsi="Calibri" w:eastAsia="Microsoft YaHei"/>
          <w:b/>
          <w:i w:val="0"/>
          <w:color w:val="173F35"/>
          <w:sz w:val="48"/>
        </w:rPr>
        <w:t>95 吨少运输的液体，不是 95 吨碳减排</w:t>
      </w:r>
    </w:p>
    <w:p>
      <w:pPr>
        <w:spacing w:after="280"/>
      </w:pPr>
      <w:r>
        <w:rPr>
          <w:rFonts w:ascii="Calibri" w:hAnsi="Calibri" w:eastAsia="Microsoft YaHei"/>
          <w:b w:val="0"/>
          <w:i w:val="0"/>
          <w:color w:val="66706B"/>
          <w:sz w:val="21"/>
        </w:rPr>
        <w:t>运输质量变化与温室气体核算边界</w:t>
      </w:r>
    </w:p>
    <w:tbl>
      <w:tblPr>
        <w:tblW w:type="auto" w:w="0"/>
        <w:jc w:val="center"/>
        <w:tblLayout w:type="fixed"/>
        <w:tblLook w:firstColumn="1" w:firstRow="1" w:lastColumn="0" w:lastRow="0" w:noHBand="0" w:noVBand="1" w:val="04A0"/>
      </w:tblPr>
      <w:tblGrid>
        <w:gridCol w:w="9360"/>
      </w:tblGrid>
      <w:tr>
        <w:tc>
          <w:tcPr>
            <w:tcW w:type="dxa" w:w="9360"/>
            <w:vAlign w:val="center"/>
            <w:shd w:fill="F7F3EB"/>
            <w:tcMar>
              <w:top w:w="180" w:type="dxa"/>
              <w:start w:w="120" w:type="dxa"/>
              <w:bottom w:w="180" w:type="dxa"/>
              <w:end w:w="120" w:type="dxa"/>
            </w:tcMar>
            <w:tcBorders>
              <w:top w:val="single" w:sz="5" w:color="D7D8D2"/>
              <w:left w:val="single" w:sz="5" w:color="D7D8D2"/>
              <w:bottom w:val="single" w:sz="5" w:color="D7D8D2"/>
              <w:right w:val="single" w:sz="5" w:color="D7D8D2"/>
            </w:tcBorders>
          </w:tcPr>
          <w:p>
            <w:pPr>
              <w:spacing w:after="40"/>
              <w:jc w:val="center"/>
            </w:pPr>
            <w:r>
              <w:rPr>
                <w:rFonts w:ascii="Calibri" w:hAnsi="Calibri" w:eastAsia="Microsoft YaHei"/>
                <w:b/>
                <w:i w:val="0"/>
                <w:color w:val="173F35"/>
                <w:sz w:val="34"/>
              </w:rPr>
              <w:t>95,000 kg</w:t>
            </w:r>
          </w:p>
          <w:p>
            <w:pPr>
              <w:spacing w:after="40"/>
              <w:jc w:val="center"/>
            </w:pPr>
            <w:r>
              <w:rPr>
                <w:rFonts w:ascii="Calibri" w:hAnsi="Calibri" w:eastAsia="Microsoft YaHei"/>
                <w:b/>
                <w:i w:val="0"/>
                <w:color w:val="68452B"/>
                <w:sz w:val="17"/>
              </w:rPr>
              <w:t>公司估算的少运输液体质量</w:t>
            </w:r>
          </w:p>
          <w:p>
            <w:pPr>
              <w:spacing w:after="0"/>
              <w:jc w:val="center"/>
            </w:pPr>
            <w:r>
              <w:rPr>
                <w:rFonts w:ascii="Calibri" w:hAnsi="Calibri" w:eastAsia="Microsoft YaHei"/>
                <w:b w:val="0"/>
                <w:i w:val="0"/>
                <w:color w:val="66706B"/>
                <w:sz w:val="14"/>
              </w:rPr>
              <w:t>活动数据；非 CO2e</w:t>
            </w:r>
          </w:p>
        </w:tc>
      </w:tr>
    </w:tbl>
    <w:p>
      <w:pPr>
        <w:spacing w:after="0"/>
      </w:pPr>
    </w:p>
    <w:p>
      <w:pPr>
        <w:spacing w:after="120" w:line="278" w:lineRule="auto"/>
      </w:pPr>
      <w:r>
        <w:rPr>
          <w:rFonts w:ascii="Calibri" w:hAnsi="Calibri" w:eastAsia="Microsoft YaHei"/>
          <w:b w:val="0"/>
          <w:i w:val="0"/>
          <w:color w:val="202823"/>
          <w:sz w:val="21"/>
        </w:rPr>
        <w:t>公司估算，报告期内通过固体洗衣片替代液体产品，减少了约 95,000 kg 液体产品的运输需求。更轻的产品通常有机会降低单位使用量对应的运输负荷，但实际温室气体结果取决于运输距离、车辆类型、载重率、回程空载、仓储与末端配送等变量。</w:t>
      </w:r>
    </w:p>
    <w:tbl>
      <w:tblPr>
        <w:tblW w:type="auto" w:w="0"/>
        <w:jc w:val="center"/>
        <w:tblLayout w:type="fixed"/>
        <w:tblLook w:firstColumn="1" w:firstRow="1" w:lastColumn="0" w:lastRow="0" w:noHBand="0" w:noVBand="1" w:val="04A0"/>
      </w:tblPr>
      <w:tblGrid>
        <w:gridCol w:w="9360"/>
      </w:tblGrid>
      <w:tr>
        <w:tc>
          <w:tcPr>
            <w:tcW w:type="dxa" w:w="9360"/>
            <w:shd w:fill="F7F3EB"/>
            <w:tcMar>
              <w:top w:w="190" w:type="dxa"/>
              <w:start w:w="220" w:type="dxa"/>
              <w:bottom w:w="190" w:type="dxa"/>
              <w:end w:w="220" w:type="dxa"/>
            </w:tcMar>
            <w:tcBorders>
              <w:top w:val="single" w:sz="6" w:color="E8D8BF"/>
              <w:left w:val="single" w:sz="6" w:color="E8D8BF"/>
              <w:bottom w:val="single" w:sz="6" w:color="E8D8BF"/>
              <w:right w:val="single" w:sz="6" w:color="E8D8BF"/>
            </w:tcBorders>
          </w:tcPr>
          <w:p>
            <w:pPr>
              <w:spacing w:after="60"/>
            </w:pPr>
            <w:r>
              <w:rPr>
                <w:rFonts w:ascii="Calibri" w:hAnsi="Calibri" w:eastAsia="Microsoft YaHei"/>
                <w:b/>
                <w:i w:val="0"/>
                <w:color w:val="173F35"/>
                <w:sz w:val="22"/>
              </w:rPr>
              <w:t>不能直接换算的原因</w:t>
            </w:r>
          </w:p>
          <w:p>
            <w:pPr>
              <w:spacing w:after="0" w:line="269" w:lineRule="auto"/>
            </w:pPr>
            <w:r>
              <w:rPr>
                <w:rFonts w:ascii="Calibri" w:hAnsi="Calibri" w:eastAsia="Microsoft YaHei"/>
                <w:b w:val="0"/>
                <w:i w:val="0"/>
                <w:color w:val="202823"/>
                <w:sz w:val="19"/>
              </w:rPr>
              <w:t>温室气体排放需要以吨公里等活动数据乘以适用排放因子，并明确核算边界。只有“质量”而没有“距离、方式和因子”，不能得到可信的 kg CO2e。</w:t>
            </w:r>
          </w:p>
        </w:tc>
      </w:tr>
    </w:tbl>
    <w:p>
      <w:pPr>
        <w:spacing w:after="0"/>
      </w:pPr>
    </w:p>
    <w:p>
      <w:pPr>
        <w:pStyle w:val="Heading2"/>
        <w:keepNext/>
      </w:pPr>
      <w:r>
        <w:rPr>
          <w:rFonts w:ascii="Calibri" w:hAnsi="Calibri" w:eastAsia="Microsoft YaHei"/>
          <w:b/>
          <w:i w:val="0"/>
          <w:color w:val="68452B"/>
          <w:sz w:val="25"/>
        </w:rPr>
        <w:t>建立 Scope 3 运输基线的五步法</w:t>
      </w:r>
    </w:p>
    <w:tbl>
      <w:tblPr>
        <w:tblW w:type="auto" w:w="0"/>
        <w:jc w:val="center"/>
        <w:tblLayout w:type="fixed"/>
        <w:tblLook w:firstColumn="1" w:firstRow="1" w:lastColumn="0" w:lastRow="0" w:noHBand="0" w:noVBand="1" w:val="04A0"/>
      </w:tblPr>
      <w:tblGrid>
        <w:gridCol w:w="3120"/>
        <w:gridCol w:w="3120"/>
        <w:gridCol w:w="3120"/>
      </w:tblGrid>
      <w:tr>
        <w:trPr>
          <w:tblHeader w:val="true"/>
        </w:trPr>
        <w:tc>
          <w:tcPr>
            <w:tcW w:type="dxa" w:w="936"/>
            <w:shd w:fill="173F35"/>
            <w:tcMar>
              <w:top w:w="100" w:type="dxa"/>
              <w:start w:w="110" w:type="dxa"/>
              <w:bottom w:w="100" w:type="dxa"/>
              <w:end w:w="110" w:type="dxa"/>
            </w:tcMar>
            <w:tcBorders>
              <w:top w:val="single" w:sz="4" w:color="FFFFFF"/>
              <w:left w:val="single" w:sz="4" w:color="FFFFFF"/>
              <w:bottom w:val="single" w:sz="4" w:color="FFFFFF"/>
              <w:right w:val="single" w:sz="4" w:color="FFFFFF"/>
            </w:tcBorders>
          </w:tcPr>
          <w:p>
            <w:pPr>
              <w:spacing w:after="0"/>
            </w:pPr>
            <w:r>
              <w:rPr>
                <w:rFonts w:ascii="Calibri" w:hAnsi="Calibri" w:eastAsia="Microsoft YaHei"/>
                <w:b/>
                <w:i w:val="0"/>
                <w:color w:val="FFFFFF"/>
                <w:sz w:val="16"/>
              </w:rPr>
              <w:t>步骤</w:t>
            </w:r>
          </w:p>
        </w:tc>
        <w:tc>
          <w:tcPr>
            <w:tcW w:type="dxa" w:w="4680"/>
            <w:shd w:fill="173F35"/>
            <w:tcMar>
              <w:top w:w="100" w:type="dxa"/>
              <w:start w:w="110" w:type="dxa"/>
              <w:bottom w:w="100" w:type="dxa"/>
              <w:end w:w="110" w:type="dxa"/>
            </w:tcMar>
            <w:tcBorders>
              <w:top w:val="single" w:sz="4" w:color="FFFFFF"/>
              <w:left w:val="single" w:sz="4" w:color="FFFFFF"/>
              <w:bottom w:val="single" w:sz="4" w:color="FFFFFF"/>
              <w:right w:val="single" w:sz="4" w:color="FFFFFF"/>
            </w:tcBorders>
          </w:tcPr>
          <w:p>
            <w:pPr>
              <w:spacing w:after="0"/>
            </w:pPr>
            <w:r>
              <w:rPr>
                <w:rFonts w:ascii="Calibri" w:hAnsi="Calibri" w:eastAsia="Microsoft YaHei"/>
                <w:b/>
                <w:i w:val="0"/>
                <w:color w:val="FFFFFF"/>
                <w:sz w:val="16"/>
              </w:rPr>
              <w:t>需要的数据</w:t>
            </w:r>
          </w:p>
        </w:tc>
        <w:tc>
          <w:tcPr>
            <w:tcW w:type="dxa" w:w="3744"/>
            <w:shd w:fill="173F35"/>
            <w:tcMar>
              <w:top w:w="100" w:type="dxa"/>
              <w:start w:w="110" w:type="dxa"/>
              <w:bottom w:w="100" w:type="dxa"/>
              <w:end w:w="110" w:type="dxa"/>
            </w:tcMar>
            <w:tcBorders>
              <w:top w:val="single" w:sz="4" w:color="FFFFFF"/>
              <w:left w:val="single" w:sz="4" w:color="FFFFFF"/>
              <w:bottom w:val="single" w:sz="4" w:color="FFFFFF"/>
              <w:right w:val="single" w:sz="4" w:color="FFFFFF"/>
            </w:tcBorders>
          </w:tcPr>
          <w:p>
            <w:pPr>
              <w:spacing w:after="0"/>
            </w:pPr>
            <w:r>
              <w:rPr>
                <w:rFonts w:ascii="Calibri" w:hAnsi="Calibri" w:eastAsia="Microsoft YaHei"/>
                <w:b/>
                <w:i w:val="0"/>
                <w:color w:val="FFFFFF"/>
                <w:sz w:val="16"/>
              </w:rPr>
              <w:t>预期输出</w:t>
            </w:r>
          </w:p>
        </w:tc>
      </w:tr>
      <w:tr>
        <w:tc>
          <w:tcPr>
            <w:tcW w:type="dxa" w:w="936"/>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01</w:t>
            </w:r>
          </w:p>
        </w:tc>
        <w:tc>
          <w:tcPr>
            <w:tcW w:type="dxa" w:w="4680"/>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每笔订单产品与包装重量</w:t>
            </w:r>
          </w:p>
        </w:tc>
        <w:tc>
          <w:tcPr>
            <w:tcW w:type="dxa" w:w="3744"/>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发运质量</w:t>
            </w:r>
          </w:p>
        </w:tc>
      </w:tr>
      <w:tr>
        <w:tc>
          <w:tcPr>
            <w:tcW w:type="dxa" w:w="936"/>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02</w:t>
            </w:r>
          </w:p>
        </w:tc>
        <w:tc>
          <w:tcPr>
            <w:tcW w:type="dxa" w:w="4680"/>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起运地、目的地与实际里程</w:t>
            </w:r>
          </w:p>
        </w:tc>
        <w:tc>
          <w:tcPr>
            <w:tcW w:type="dxa" w:w="3744"/>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运输距离</w:t>
            </w:r>
          </w:p>
        </w:tc>
      </w:tr>
      <w:tr>
        <w:tc>
          <w:tcPr>
            <w:tcW w:type="dxa" w:w="936"/>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03</w:t>
            </w:r>
          </w:p>
        </w:tc>
        <w:tc>
          <w:tcPr>
            <w:tcW w:type="dxa" w:w="4680"/>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公路、铁路、航空等运输方式</w:t>
            </w:r>
          </w:p>
        </w:tc>
        <w:tc>
          <w:tcPr>
            <w:tcW w:type="dxa" w:w="3744"/>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运输结构</w:t>
            </w:r>
          </w:p>
        </w:tc>
      </w:tr>
      <w:tr>
        <w:tc>
          <w:tcPr>
            <w:tcW w:type="dxa" w:w="936"/>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04</w:t>
            </w:r>
          </w:p>
        </w:tc>
        <w:tc>
          <w:tcPr>
            <w:tcW w:type="dxa" w:w="4680"/>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适用排放因子与年份</w:t>
            </w:r>
          </w:p>
        </w:tc>
        <w:tc>
          <w:tcPr>
            <w:tcW w:type="dxa" w:w="3744"/>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吨公里排放</w:t>
            </w:r>
          </w:p>
        </w:tc>
      </w:tr>
      <w:tr>
        <w:tc>
          <w:tcPr>
            <w:tcW w:type="dxa" w:w="936"/>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05</w:t>
            </w:r>
          </w:p>
        </w:tc>
        <w:tc>
          <w:tcPr>
            <w:tcW w:type="dxa" w:w="4680"/>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基准产品与替代产品的同口径比较</w:t>
            </w:r>
          </w:p>
        </w:tc>
        <w:tc>
          <w:tcPr>
            <w:tcW w:type="dxa" w:w="3744"/>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可复核的避免排放估算</w:t>
            </w:r>
          </w:p>
        </w:tc>
      </w:tr>
    </w:tbl>
    <w:p>
      <w:pPr>
        <w:spacing w:after="0"/>
      </w:pPr>
    </w:p>
    <w:p>
      <w:pPr>
        <w:spacing w:after="80" w:line="264" w:lineRule="auto"/>
      </w:pPr>
      <w:r>
        <w:rPr>
          <w:rFonts w:ascii="Calibri" w:hAnsi="Calibri" w:eastAsia="Microsoft YaHei"/>
          <w:b w:val="0"/>
          <w:i w:val="0"/>
          <w:color w:val="66706B"/>
          <w:sz w:val="17"/>
        </w:rPr>
        <w:t>本报告未披露 Scope 1、Scope 2 或 Scope 3 排放总量，也未获得第三方碳核证。</w:t>
      </w:r>
    </w:p>
    <w:p>
      <w:r>
        <w:br w:type="page"/>
      </w:r>
    </w:p>
    <w:p>
      <w:pPr>
        <w:spacing w:after="100"/>
      </w:pPr>
      <w:r>
        <w:rPr>
          <w:rFonts w:ascii="Calibri" w:hAnsi="Calibri" w:eastAsia="Microsoft YaHei"/>
          <w:b/>
          <w:i w:val="0"/>
          <w:color w:val="68452B"/>
          <w:sz w:val="17"/>
        </w:rPr>
        <w:t>ENVIRONMENT · INGREDIENTS</w:t>
      </w:r>
    </w:p>
    <w:p>
      <w:pPr>
        <w:pStyle w:val="Title"/>
        <w:spacing w:after="140"/>
      </w:pPr>
      <w:r>
        <w:rPr>
          <w:rFonts w:ascii="Calibri" w:hAnsi="Calibri" w:eastAsia="Microsoft YaHei"/>
          <w:b/>
          <w:i w:val="0"/>
          <w:color w:val="173F35"/>
          <w:sz w:val="48"/>
        </w:rPr>
        <w:t>从“天然”口号走向成分证据</w:t>
      </w:r>
    </w:p>
    <w:p>
      <w:pPr>
        <w:spacing w:after="280"/>
      </w:pPr>
      <w:r>
        <w:rPr>
          <w:rFonts w:ascii="Calibri" w:hAnsi="Calibri" w:eastAsia="Microsoft YaHei"/>
          <w:b w:val="0"/>
          <w:i w:val="0"/>
          <w:color w:val="66706B"/>
          <w:sz w:val="21"/>
        </w:rPr>
        <w:t>配方选择、水环境与责任沟通</w:t>
      </w:r>
    </w:p>
    <w:p>
      <w:pPr>
        <w:spacing w:after="120" w:line="278" w:lineRule="auto"/>
      </w:pPr>
      <w:r>
        <w:rPr>
          <w:rFonts w:ascii="Calibri" w:hAnsi="Calibri" w:eastAsia="Microsoft YaHei"/>
          <w:b w:val="0"/>
          <w:i w:val="0"/>
          <w:color w:val="202823"/>
          <w:sz w:val="21"/>
        </w:rPr>
        <w:t>吐枝在洗衣粉、洗衣皂、洗衣片、去污膏与本草洗发膏的开发中，探索植物来源原料、酶与矿物等成分，用以替代部分传统配方成分或减少不必要添加。这是一种产品设计方向，而不是对所有成分来源、人体适用性或环境结果的统一保证。</w:t>
      </w:r>
    </w:p>
    <w:p>
      <w:pPr>
        <w:spacing w:after="120" w:line="278" w:lineRule="auto"/>
      </w:pPr>
      <w:r>
        <w:rPr>
          <w:rFonts w:ascii="Calibri" w:hAnsi="Calibri" w:eastAsia="Microsoft YaHei"/>
          <w:b w:val="0"/>
          <w:i w:val="0"/>
          <w:color w:val="202823"/>
          <w:sz w:val="21"/>
        </w:rPr>
        <w:t>任何清洁成分最终是否对水环境造成影响，需要结合用量、污水处理条件、生物降解性、生态毒性、浓度与暴露路径判断。报告期内公司尚未完成产品级生命周期评价、废水监测或完整生态毒性验证，因此本报告不量化“减少了多少化学品排放”，也不使用“零化学”“绝对无残留”“完全无污染”等表述。</w:t>
      </w:r>
    </w:p>
    <w:p>
      <w:pPr>
        <w:pStyle w:val="Heading2"/>
        <w:keepNext/>
      </w:pPr>
      <w:r>
        <w:rPr>
          <w:rFonts w:ascii="Calibri" w:hAnsi="Calibri" w:eastAsia="Microsoft YaHei"/>
          <w:b/>
          <w:i w:val="0"/>
          <w:color w:val="68452B"/>
          <w:sz w:val="25"/>
        </w:rPr>
        <w:t>产品证据路线图</w:t>
      </w:r>
    </w:p>
    <w:tbl>
      <w:tblPr>
        <w:tblW w:type="auto" w:w="0"/>
        <w:jc w:val="center"/>
        <w:tblLayout w:type="fixed"/>
        <w:tblLook w:firstColumn="1" w:firstRow="1" w:lastColumn="0" w:lastRow="0" w:noHBand="0" w:noVBand="1" w:val="04A0"/>
      </w:tblPr>
      <w:tblGrid>
        <w:gridCol w:w="3120"/>
        <w:gridCol w:w="3120"/>
        <w:gridCol w:w="3120"/>
      </w:tblGrid>
      <w:tr>
        <w:trPr>
          <w:tblHeader w:val="true"/>
        </w:trPr>
        <w:tc>
          <w:tcPr>
            <w:tcW w:type="dxa" w:w="1296"/>
            <w:shd w:fill="173F35"/>
            <w:tcMar>
              <w:top w:w="100" w:type="dxa"/>
              <w:start w:w="110" w:type="dxa"/>
              <w:bottom w:w="100" w:type="dxa"/>
              <w:end w:w="110" w:type="dxa"/>
            </w:tcMar>
            <w:tcBorders>
              <w:top w:val="single" w:sz="4" w:color="FFFFFF"/>
              <w:left w:val="single" w:sz="4" w:color="FFFFFF"/>
              <w:bottom w:val="single" w:sz="4" w:color="FFFFFF"/>
              <w:right w:val="single" w:sz="4" w:color="FFFFFF"/>
            </w:tcBorders>
          </w:tcPr>
          <w:p>
            <w:pPr>
              <w:spacing w:after="0"/>
            </w:pPr>
            <w:r>
              <w:rPr>
                <w:rFonts w:ascii="Calibri" w:hAnsi="Calibri" w:eastAsia="Microsoft YaHei"/>
                <w:b/>
                <w:i w:val="0"/>
                <w:color w:val="FFFFFF"/>
                <w:sz w:val="16"/>
              </w:rPr>
              <w:t>层级</w:t>
            </w:r>
          </w:p>
        </w:tc>
        <w:tc>
          <w:tcPr>
            <w:tcW w:type="dxa" w:w="3816"/>
            <w:shd w:fill="173F35"/>
            <w:tcMar>
              <w:top w:w="100" w:type="dxa"/>
              <w:start w:w="110" w:type="dxa"/>
              <w:bottom w:w="100" w:type="dxa"/>
              <w:end w:w="110" w:type="dxa"/>
            </w:tcMar>
            <w:tcBorders>
              <w:top w:val="single" w:sz="4" w:color="FFFFFF"/>
              <w:left w:val="single" w:sz="4" w:color="FFFFFF"/>
              <w:bottom w:val="single" w:sz="4" w:color="FFFFFF"/>
              <w:right w:val="single" w:sz="4" w:color="FFFFFF"/>
            </w:tcBorders>
          </w:tcPr>
          <w:p>
            <w:pPr>
              <w:spacing w:after="0"/>
            </w:pPr>
            <w:r>
              <w:rPr>
                <w:rFonts w:ascii="Calibri" w:hAnsi="Calibri" w:eastAsia="Microsoft YaHei"/>
                <w:b/>
                <w:i w:val="0"/>
                <w:color w:val="FFFFFF"/>
                <w:sz w:val="16"/>
              </w:rPr>
              <w:t>要回答的问题</w:t>
            </w:r>
          </w:p>
        </w:tc>
        <w:tc>
          <w:tcPr>
            <w:tcW w:type="dxa" w:w="4248"/>
            <w:shd w:fill="173F35"/>
            <w:tcMar>
              <w:top w:w="100" w:type="dxa"/>
              <w:start w:w="110" w:type="dxa"/>
              <w:bottom w:w="100" w:type="dxa"/>
              <w:end w:w="110" w:type="dxa"/>
            </w:tcMar>
            <w:tcBorders>
              <w:top w:val="single" w:sz="4" w:color="FFFFFF"/>
              <w:left w:val="single" w:sz="4" w:color="FFFFFF"/>
              <w:bottom w:val="single" w:sz="4" w:color="FFFFFF"/>
              <w:right w:val="single" w:sz="4" w:color="FFFFFF"/>
            </w:tcBorders>
          </w:tcPr>
          <w:p>
            <w:pPr>
              <w:spacing w:after="0"/>
            </w:pPr>
            <w:r>
              <w:rPr>
                <w:rFonts w:ascii="Calibri" w:hAnsi="Calibri" w:eastAsia="Microsoft YaHei"/>
                <w:b/>
                <w:i w:val="0"/>
                <w:color w:val="FFFFFF"/>
                <w:sz w:val="16"/>
              </w:rPr>
              <w:t>计划证据</w:t>
            </w:r>
          </w:p>
        </w:tc>
      </w:tr>
      <w:tr>
        <w:tc>
          <w:tcPr>
            <w:tcW w:type="dxa" w:w="1296"/>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成分</w:t>
            </w:r>
          </w:p>
        </w:tc>
        <w:tc>
          <w:tcPr>
            <w:tcW w:type="dxa" w:w="3816"/>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是什么、来自哪里、发挥什么作用</w:t>
            </w:r>
          </w:p>
        </w:tc>
        <w:tc>
          <w:tcPr>
            <w:tcW w:type="dxa" w:w="4248"/>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成分清单、供应商规格、安全数据</w:t>
            </w:r>
          </w:p>
        </w:tc>
      </w:tr>
      <w:tr>
        <w:tc>
          <w:tcPr>
            <w:tcW w:type="dxa" w:w="1296"/>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产品</w:t>
            </w:r>
          </w:p>
        </w:tc>
        <w:tc>
          <w:tcPr>
            <w:tcW w:type="dxa" w:w="3816"/>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在规定用量下是否有效与稳定</w:t>
            </w:r>
          </w:p>
        </w:tc>
        <w:tc>
          <w:tcPr>
            <w:tcW w:type="dxa" w:w="4248"/>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质量检验、稳定性、使用说明</w:t>
            </w:r>
          </w:p>
        </w:tc>
      </w:tr>
      <w:tr>
        <w:tc>
          <w:tcPr>
            <w:tcW w:type="dxa" w:w="1296"/>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使用</w:t>
            </w:r>
          </w:p>
        </w:tc>
        <w:tc>
          <w:tcPr>
            <w:tcW w:type="dxa" w:w="3816"/>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如何避免过量与误用</w:t>
            </w:r>
          </w:p>
        </w:tc>
        <w:tc>
          <w:tcPr>
            <w:tcW w:type="dxa" w:w="4248"/>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剂量、水温、适用材质与警示</w:t>
            </w:r>
          </w:p>
        </w:tc>
      </w:tr>
      <w:tr>
        <w:tc>
          <w:tcPr>
            <w:tcW w:type="dxa" w:w="1296"/>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环境</w:t>
            </w:r>
          </w:p>
        </w:tc>
        <w:tc>
          <w:tcPr>
            <w:tcW w:type="dxa" w:w="3816"/>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进入污水系统后可能发生什么</w:t>
            </w:r>
          </w:p>
        </w:tc>
        <w:tc>
          <w:tcPr>
            <w:tcW w:type="dxa" w:w="4248"/>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7"/>
              </w:rPr>
              <w:t>生物降解、生态毒性与生命周期研究</w:t>
            </w:r>
          </w:p>
        </w:tc>
      </w:tr>
    </w:tbl>
    <w:p>
      <w:pPr>
        <w:spacing w:after="0"/>
      </w:pPr>
    </w:p>
    <w:tbl>
      <w:tblPr>
        <w:tblW w:type="auto" w:w="0"/>
        <w:jc w:val="center"/>
        <w:tblLayout w:type="fixed"/>
        <w:tblLook w:firstColumn="1" w:firstRow="1" w:lastColumn="0" w:lastRow="0" w:noHBand="0" w:noVBand="1" w:val="04A0"/>
      </w:tblPr>
      <w:tblGrid>
        <w:gridCol w:w="9360"/>
      </w:tblGrid>
      <w:tr>
        <w:tc>
          <w:tcPr>
            <w:tcW w:type="dxa" w:w="9360"/>
            <w:shd w:fill="E9EFEA"/>
            <w:tcMar>
              <w:top w:w="190" w:type="dxa"/>
              <w:start w:w="220" w:type="dxa"/>
              <w:bottom w:w="190" w:type="dxa"/>
              <w:end w:w="220" w:type="dxa"/>
            </w:tcMar>
            <w:tcBorders>
              <w:top w:val="single" w:sz="6" w:color="E8D8BF"/>
              <w:left w:val="single" w:sz="6" w:color="E8D8BF"/>
              <w:bottom w:val="single" w:sz="6" w:color="E8D8BF"/>
              <w:right w:val="single" w:sz="6" w:color="E8D8BF"/>
            </w:tcBorders>
          </w:tcPr>
          <w:p>
            <w:pPr>
              <w:spacing w:after="60"/>
            </w:pPr>
            <w:r>
              <w:rPr>
                <w:rFonts w:ascii="Calibri" w:hAnsi="Calibri" w:eastAsia="Microsoft YaHei"/>
                <w:b/>
                <w:i w:val="0"/>
                <w:color w:val="173F35"/>
                <w:sz w:val="22"/>
              </w:rPr>
              <w:t>消费者安全</w:t>
            </w:r>
          </w:p>
          <w:p>
            <w:pPr>
              <w:spacing w:after="0" w:line="269" w:lineRule="auto"/>
            </w:pPr>
            <w:r>
              <w:rPr>
                <w:rFonts w:ascii="Calibri" w:hAnsi="Calibri" w:eastAsia="Microsoft YaHei"/>
                <w:b w:val="0"/>
                <w:i w:val="0"/>
                <w:color w:val="202823"/>
                <w:sz w:val="19"/>
              </w:rPr>
              <w:t>植物来源不意味着对所有人都不致敏。对香气或特定成分敏感的人群，应查看标签、按说明使用并停止使用引发不适的产品。</w:t>
            </w:r>
          </w:p>
        </w:tc>
      </w:tr>
    </w:tbl>
    <w:p>
      <w:pPr>
        <w:spacing w:after="0"/>
      </w:pPr>
    </w:p>
    <w:p>
      <w:r>
        <w:br w:type="page"/>
      </w:r>
    </w:p>
    <w:p>
      <w:pPr>
        <w:spacing w:after="100"/>
      </w:pPr>
      <w:r>
        <w:rPr>
          <w:rFonts w:ascii="Calibri" w:hAnsi="Calibri" w:eastAsia="Microsoft YaHei"/>
          <w:b/>
          <w:i w:val="0"/>
          <w:color w:val="68452B"/>
          <w:sz w:val="17"/>
        </w:rPr>
        <w:t>PARTNERSHIPS</w:t>
      </w:r>
    </w:p>
    <w:p>
      <w:pPr>
        <w:pStyle w:val="Title"/>
        <w:spacing w:after="140"/>
      </w:pPr>
      <w:r>
        <w:rPr>
          <w:rFonts w:ascii="Calibri" w:hAnsi="Calibri" w:eastAsia="Microsoft YaHei"/>
          <w:b/>
          <w:i w:val="0"/>
          <w:color w:val="173F35"/>
          <w:sz w:val="48"/>
        </w:rPr>
        <w:t>把产品带到土地与气候议题的现场</w:t>
      </w:r>
    </w:p>
    <w:p>
      <w:pPr>
        <w:spacing w:after="280"/>
      </w:pPr>
      <w:r>
        <w:rPr>
          <w:rFonts w:ascii="Calibri" w:hAnsi="Calibri" w:eastAsia="Microsoft YaHei"/>
          <w:b w:val="0"/>
          <w:i w:val="0"/>
          <w:color w:val="66706B"/>
          <w:sz w:val="21"/>
        </w:rPr>
        <w:t>国际会议相关礼赠与公共议题合作</w:t>
      </w:r>
    </w:p>
    <w:p>
      <w:pPr>
        <w:pStyle w:val="Heading2"/>
        <w:keepNext/>
      </w:pPr>
      <w:r>
        <w:rPr>
          <w:rFonts w:ascii="Calibri" w:hAnsi="Calibri" w:eastAsia="Microsoft YaHei"/>
          <w:b/>
          <w:i w:val="0"/>
          <w:color w:val="68452B"/>
          <w:sz w:val="25"/>
        </w:rPr>
        <w:t>UNFCCC COP30 · 报告期内</w:t>
      </w:r>
    </w:p>
    <w:p>
      <w:pPr>
        <w:spacing w:after="120" w:line="278" w:lineRule="auto"/>
      </w:pPr>
      <w:r>
        <w:rPr>
          <w:rFonts w:ascii="Calibri" w:hAnsi="Calibri" w:eastAsia="Microsoft YaHei"/>
          <w:b w:val="0"/>
          <w:i w:val="0"/>
          <w:color w:val="202823"/>
          <w:sz w:val="21"/>
        </w:rPr>
        <w:t>联合国气候变化框架公约第 30 次缔约方大会（COP30）于 2025 年 11 月 10—21 日在巴西贝伦举行。公司报告，吐枝洗衣片与本草洗发膏进入 COP30 会期相关伴手礼场景。该实践使轻量化产品、日常消费与气候行动之间的关系获得现场交流机会。</w:t>
      </w:r>
    </w:p>
    <w:p>
      <w:pPr>
        <w:spacing w:after="80" w:line="264" w:lineRule="auto"/>
      </w:pPr>
      <w:r>
        <w:rPr>
          <w:rFonts w:ascii="Calibri" w:hAnsi="Calibri" w:eastAsia="Microsoft YaHei"/>
          <w:b w:val="0"/>
          <w:i w:val="0"/>
          <w:color w:val="66706B"/>
          <w:sz w:val="17"/>
        </w:rPr>
        <w:t>边界说明：产品进入相关礼赠场景不代表联合国或 UNFCCC 对品牌、产品功效、环境表现或认证状态的背书。</w:t>
      </w:r>
    </w:p>
    <w:p>
      <w:pPr>
        <w:pStyle w:val="Heading2"/>
        <w:keepNext/>
      </w:pPr>
      <w:r>
        <w:rPr>
          <w:rFonts w:ascii="Calibri" w:hAnsi="Calibri" w:eastAsia="Microsoft YaHei"/>
          <w:b/>
          <w:i w:val="0"/>
          <w:color w:val="68452B"/>
          <w:sz w:val="25"/>
        </w:rPr>
        <w:t>UNCCD COP17 · 期后进展</w:t>
      </w:r>
    </w:p>
    <w:p>
      <w:pPr>
        <w:spacing w:after="120" w:line="278" w:lineRule="auto"/>
      </w:pPr>
      <w:r>
        <w:rPr>
          <w:rFonts w:ascii="Calibri" w:hAnsi="Calibri" w:eastAsia="Microsoft YaHei"/>
          <w:b w:val="0"/>
          <w:i w:val="0"/>
          <w:color w:val="202823"/>
          <w:sz w:val="21"/>
        </w:rPr>
        <w:t>联合国防治荒漠化公约第 17 次缔约方大会（COP17）于 2026 年 8 月 17—28 日在蒙古国乌兰巴托举行，议题聚焦土地恢复。公司报告，吐枝洗衣片与本草洗发膏进入 COP17 会期相关伴手礼场景。由于活动发生在本报告期之后，本项不计入 2024—2025 年绩效，仅作为期后进展披露。</w:t>
      </w:r>
    </w:p>
    <w:p>
      <w:pPr>
        <w:spacing w:after="80" w:line="264" w:lineRule="auto"/>
      </w:pPr>
      <w:r>
        <w:rPr>
          <w:rFonts w:ascii="Calibri" w:hAnsi="Calibri" w:eastAsia="Microsoft YaHei"/>
          <w:b w:val="0"/>
          <w:i w:val="0"/>
          <w:color w:val="66706B"/>
          <w:sz w:val="17"/>
        </w:rPr>
        <w:t>边界说明：该礼赠场景不构成 UNCCD 或联合国对品牌与产品的认证或推荐。</w:t>
      </w:r>
    </w:p>
    <w:p>
      <w:pPr>
        <w:pStyle w:val="Heading2"/>
        <w:keepNext/>
      </w:pPr>
      <w:r>
        <w:rPr>
          <w:rFonts w:ascii="Calibri" w:hAnsi="Calibri" w:eastAsia="Microsoft YaHei"/>
          <w:b/>
          <w:i w:val="0"/>
          <w:color w:val="68452B"/>
          <w:sz w:val="25"/>
        </w:rPr>
        <w:t>为什么与土地和自然有关</w:t>
      </w:r>
    </w:p>
    <w:p>
      <w:pPr>
        <w:spacing w:after="120" w:line="278" w:lineRule="auto"/>
      </w:pPr>
      <w:r>
        <w:rPr>
          <w:rFonts w:ascii="Calibri" w:hAnsi="Calibri" w:eastAsia="Microsoft YaHei"/>
          <w:b w:val="0"/>
          <w:i w:val="0"/>
          <w:color w:val="202823"/>
          <w:sz w:val="21"/>
        </w:rPr>
        <w:t>洗涤产品的影响并不止于使用瞬间：原料的获取、包装材料、运输重量、使用剂量以及进入污水系统后的环境归趋，都可能与气候、土地和生物多样性发生联系。吐枝希望以产品为媒介，推动更具体的讨论，并用后续数据验证实际结果。</w:t>
      </w:r>
    </w:p>
    <w:p>
      <w:r>
        <w:br w:type="page"/>
      </w:r>
    </w:p>
    <w:p>
      <w:pPr>
        <w:spacing w:after="100"/>
      </w:pPr>
      <w:r>
        <w:rPr>
          <w:rFonts w:ascii="Calibri" w:hAnsi="Calibri" w:eastAsia="Microsoft YaHei"/>
          <w:b/>
          <w:i w:val="0"/>
          <w:color w:val="68452B"/>
          <w:sz w:val="17"/>
        </w:rPr>
        <w:t>SOCIAL</w:t>
      </w:r>
    </w:p>
    <w:p>
      <w:pPr>
        <w:pStyle w:val="Title"/>
        <w:spacing w:after="140"/>
      </w:pPr>
      <w:r>
        <w:rPr>
          <w:rFonts w:ascii="Calibri" w:hAnsi="Calibri" w:eastAsia="Microsoft YaHei"/>
          <w:b/>
          <w:i w:val="0"/>
          <w:color w:val="173F35"/>
          <w:sz w:val="48"/>
        </w:rPr>
        <w:t>让更多人参与，也让文化与行动彼此看见</w:t>
      </w:r>
    </w:p>
    <w:p>
      <w:pPr>
        <w:spacing w:after="280"/>
      </w:pPr>
      <w:r>
        <w:rPr>
          <w:rFonts w:ascii="Calibri" w:hAnsi="Calibri" w:eastAsia="Microsoft YaHei"/>
          <w:b w:val="0"/>
          <w:i w:val="0"/>
          <w:color w:val="66706B"/>
          <w:sz w:val="21"/>
        </w:rPr>
        <w:t>包容性培训与社区伙伴关系</w:t>
      </w:r>
    </w:p>
    <w:p>
      <w:pPr>
        <w:pStyle w:val="Heading2"/>
        <w:keepNext/>
      </w:pPr>
      <w:r>
        <w:rPr>
          <w:rFonts w:ascii="Calibri" w:hAnsi="Calibri" w:eastAsia="Microsoft YaHei"/>
          <w:b/>
          <w:i w:val="0"/>
          <w:color w:val="68452B"/>
          <w:sz w:val="25"/>
        </w:rPr>
        <w:t>4 名心智障碍青年的就业准备培训</w:t>
      </w:r>
    </w:p>
    <w:p>
      <w:pPr>
        <w:spacing w:after="120" w:line="278" w:lineRule="auto"/>
      </w:pPr>
      <w:r>
        <w:rPr>
          <w:rFonts w:ascii="Calibri" w:hAnsi="Calibri" w:eastAsia="Microsoft YaHei"/>
          <w:b w:val="0"/>
          <w:i w:val="0"/>
          <w:color w:val="202823"/>
          <w:sz w:val="21"/>
        </w:rPr>
        <w:t>报告期内，吐枝为 4 名心智障碍青年提供就业准备培训。项目以接触真实工作任务、建立流程意识和提升参与信心为主要方向。公司尊重参与者的隐私与尊严，因此不披露个人身份信息。</w:t>
      </w:r>
    </w:p>
    <w:tbl>
      <w:tblPr>
        <w:tblW w:type="auto" w:w="0"/>
        <w:jc w:val="center"/>
        <w:tblLayout w:type="fixed"/>
        <w:tblLook w:firstColumn="1" w:firstRow="1" w:lastColumn="0" w:lastRow="0" w:noHBand="0" w:noVBand="1" w:val="04A0"/>
      </w:tblPr>
      <w:tblGrid>
        <w:gridCol w:w="9360"/>
      </w:tblGrid>
      <w:tr>
        <w:tc>
          <w:tcPr>
            <w:tcW w:type="dxa" w:w="9360"/>
            <w:shd w:fill="F7F3EB"/>
            <w:tcMar>
              <w:top w:w="190" w:type="dxa"/>
              <w:start w:w="220" w:type="dxa"/>
              <w:bottom w:w="190" w:type="dxa"/>
              <w:end w:w="220" w:type="dxa"/>
            </w:tcMar>
            <w:tcBorders>
              <w:top w:val="single" w:sz="6" w:color="E8D8BF"/>
              <w:left w:val="single" w:sz="6" w:color="E8D8BF"/>
              <w:bottom w:val="single" w:sz="6" w:color="E8D8BF"/>
              <w:right w:val="single" w:sz="6" w:color="E8D8BF"/>
            </w:tcBorders>
          </w:tcPr>
          <w:p>
            <w:pPr>
              <w:spacing w:after="60"/>
            </w:pPr>
            <w:r>
              <w:rPr>
                <w:rFonts w:ascii="Calibri" w:hAnsi="Calibri" w:eastAsia="Microsoft YaHei"/>
                <w:b/>
                <w:i w:val="0"/>
                <w:color w:val="173F35"/>
                <w:sz w:val="22"/>
              </w:rPr>
              <w:t>成果边界</w:t>
            </w:r>
          </w:p>
          <w:p>
            <w:pPr>
              <w:spacing w:after="0" w:line="269" w:lineRule="auto"/>
            </w:pPr>
            <w:r>
              <w:rPr>
                <w:rFonts w:ascii="Calibri" w:hAnsi="Calibri" w:eastAsia="Microsoft YaHei"/>
                <w:b w:val="0"/>
                <w:i w:val="0"/>
                <w:color w:val="202823"/>
                <w:sz w:val="19"/>
              </w:rPr>
              <w:t>本报告披露的是接受培训人数，不等同于 4 个新增就业岗位。培训时数、课程完成率、后续就业与持续支持数据尚未形成完整记录。</w:t>
            </w:r>
          </w:p>
        </w:tc>
      </w:tr>
    </w:tbl>
    <w:p>
      <w:pPr>
        <w:spacing w:after="0"/>
      </w:pPr>
    </w:p>
    <w:p>
      <w:pPr>
        <w:pStyle w:val="Heading2"/>
        <w:keepNext/>
      </w:pPr>
      <w:r>
        <w:rPr>
          <w:rFonts w:ascii="Calibri" w:hAnsi="Calibri" w:eastAsia="Microsoft YaHei"/>
          <w:b/>
          <w:i w:val="0"/>
          <w:color w:val="68452B"/>
          <w:sz w:val="25"/>
        </w:rPr>
        <w:t>支持公共议题与文化活动</w:t>
      </w:r>
    </w:p>
    <w:tbl>
      <w:tblPr>
        <w:tblW w:type="auto" w:w="0"/>
        <w:jc w:val="center"/>
        <w:tblLayout w:type="fixed"/>
        <w:tblLook w:firstColumn="1" w:firstRow="1" w:lastColumn="0" w:lastRow="0" w:noHBand="0" w:noVBand="1" w:val="04A0"/>
      </w:tblPr>
      <w:tblGrid>
        <w:gridCol w:w="2340"/>
        <w:gridCol w:w="2340"/>
        <w:gridCol w:w="2340"/>
        <w:gridCol w:w="2340"/>
      </w:tblGrid>
      <w:tr>
        <w:trPr>
          <w:tblHeader w:val="true"/>
        </w:trPr>
        <w:tc>
          <w:tcPr>
            <w:tcW w:type="dxa" w:w="2520"/>
            <w:shd w:fill="173F35"/>
            <w:tcMar>
              <w:top w:w="100" w:type="dxa"/>
              <w:start w:w="110" w:type="dxa"/>
              <w:bottom w:w="100" w:type="dxa"/>
              <w:end w:w="110" w:type="dxa"/>
            </w:tcMar>
            <w:tcBorders>
              <w:top w:val="single" w:sz="4" w:color="FFFFFF"/>
              <w:left w:val="single" w:sz="4" w:color="FFFFFF"/>
              <w:bottom w:val="single" w:sz="4" w:color="FFFFFF"/>
              <w:right w:val="single" w:sz="4" w:color="FFFFFF"/>
            </w:tcBorders>
          </w:tcPr>
          <w:p>
            <w:pPr>
              <w:spacing w:after="0"/>
            </w:pPr>
            <w:r>
              <w:rPr>
                <w:rFonts w:ascii="Calibri" w:hAnsi="Calibri" w:eastAsia="Microsoft YaHei"/>
                <w:b/>
                <w:i w:val="0"/>
                <w:color w:val="FFFFFF"/>
                <w:sz w:val="16"/>
              </w:rPr>
              <w:t>项目</w:t>
            </w:r>
          </w:p>
        </w:tc>
        <w:tc>
          <w:tcPr>
            <w:tcW w:type="dxa" w:w="1440"/>
            <w:shd w:fill="173F35"/>
            <w:tcMar>
              <w:top w:w="100" w:type="dxa"/>
              <w:start w:w="110" w:type="dxa"/>
              <w:bottom w:w="100" w:type="dxa"/>
              <w:end w:w="110" w:type="dxa"/>
            </w:tcMar>
            <w:tcBorders>
              <w:top w:val="single" w:sz="4" w:color="FFFFFF"/>
              <w:left w:val="single" w:sz="4" w:color="FFFFFF"/>
              <w:bottom w:val="single" w:sz="4" w:color="FFFFFF"/>
              <w:right w:val="single" w:sz="4" w:color="FFFFFF"/>
            </w:tcBorders>
          </w:tcPr>
          <w:p>
            <w:pPr>
              <w:spacing w:after="0"/>
            </w:pPr>
            <w:r>
              <w:rPr>
                <w:rFonts w:ascii="Calibri" w:hAnsi="Calibri" w:eastAsia="Microsoft YaHei"/>
                <w:b/>
                <w:i w:val="0"/>
                <w:color w:val="FFFFFF"/>
                <w:sz w:val="16"/>
              </w:rPr>
              <w:t>公司角色</w:t>
            </w:r>
          </w:p>
        </w:tc>
        <w:tc>
          <w:tcPr>
            <w:tcW w:type="dxa" w:w="2880"/>
            <w:shd w:fill="173F35"/>
            <w:tcMar>
              <w:top w:w="100" w:type="dxa"/>
              <w:start w:w="110" w:type="dxa"/>
              <w:bottom w:w="100" w:type="dxa"/>
              <w:end w:w="110" w:type="dxa"/>
            </w:tcMar>
            <w:tcBorders>
              <w:top w:val="single" w:sz="4" w:color="FFFFFF"/>
              <w:left w:val="single" w:sz="4" w:color="FFFFFF"/>
              <w:bottom w:val="single" w:sz="4" w:color="FFFFFF"/>
              <w:right w:val="single" w:sz="4" w:color="FFFFFF"/>
            </w:tcBorders>
          </w:tcPr>
          <w:p>
            <w:pPr>
              <w:spacing w:after="0"/>
            </w:pPr>
            <w:r>
              <w:rPr>
                <w:rFonts w:ascii="Calibri" w:hAnsi="Calibri" w:eastAsia="Microsoft YaHei"/>
                <w:b/>
                <w:i w:val="0"/>
                <w:color w:val="FFFFFF"/>
                <w:sz w:val="16"/>
              </w:rPr>
              <w:t>可持续关联</w:t>
            </w:r>
          </w:p>
        </w:tc>
        <w:tc>
          <w:tcPr>
            <w:tcW w:type="dxa" w:w="2520"/>
            <w:shd w:fill="173F35"/>
            <w:tcMar>
              <w:top w:w="100" w:type="dxa"/>
              <w:start w:w="110" w:type="dxa"/>
              <w:bottom w:w="100" w:type="dxa"/>
              <w:end w:w="110" w:type="dxa"/>
            </w:tcMar>
            <w:tcBorders>
              <w:top w:val="single" w:sz="4" w:color="FFFFFF"/>
              <w:left w:val="single" w:sz="4" w:color="FFFFFF"/>
              <w:bottom w:val="single" w:sz="4" w:color="FFFFFF"/>
              <w:right w:val="single" w:sz="4" w:color="FFFFFF"/>
            </w:tcBorders>
          </w:tcPr>
          <w:p>
            <w:pPr>
              <w:spacing w:after="0"/>
            </w:pPr>
            <w:r>
              <w:rPr>
                <w:rFonts w:ascii="Calibri" w:hAnsi="Calibri" w:eastAsia="Microsoft YaHei"/>
                <w:b/>
                <w:i w:val="0"/>
                <w:color w:val="FFFFFF"/>
                <w:sz w:val="16"/>
              </w:rPr>
              <w:t>验证状态</w:t>
            </w:r>
          </w:p>
        </w:tc>
      </w:tr>
      <w:tr>
        <w:tc>
          <w:tcPr>
            <w:tcW w:type="dxa" w:w="2520"/>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TEDxSuzhou Countdown 2024</w:t>
            </w:r>
          </w:p>
        </w:tc>
        <w:tc>
          <w:tcPr>
            <w:tcW w:type="dxa" w:w="1440"/>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赞助支持</w:t>
            </w:r>
          </w:p>
        </w:tc>
        <w:tc>
          <w:tcPr>
            <w:tcW w:type="dxa" w:w="2880"/>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气候、城市、艺术、健康等公共议题交流</w:t>
            </w:r>
          </w:p>
        </w:tc>
        <w:tc>
          <w:tcPr>
            <w:tcW w:type="dxa" w:w="2520"/>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活动存在可由 TED 官方页面核验；赞助关系为公司报告</w:t>
            </w:r>
          </w:p>
        </w:tc>
      </w:tr>
      <w:tr>
        <w:tc>
          <w:tcPr>
            <w:tcW w:type="dxa" w:w="2520"/>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D 大调合唱团“暖冬颂歌”百人合唱大会</w:t>
            </w:r>
          </w:p>
        </w:tc>
        <w:tc>
          <w:tcPr>
            <w:tcW w:type="dxa" w:w="1440"/>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赞助支持</w:t>
            </w:r>
          </w:p>
        </w:tc>
        <w:tc>
          <w:tcPr>
            <w:tcW w:type="dxa" w:w="2880"/>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文化参与、群体连接与社区活力</w:t>
            </w:r>
          </w:p>
        </w:tc>
        <w:tc>
          <w:tcPr>
            <w:tcW w:type="dxa" w:w="2520"/>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公司报告；未取得独立公开来源</w:t>
            </w:r>
          </w:p>
        </w:tc>
      </w:tr>
    </w:tbl>
    <w:p>
      <w:pPr>
        <w:spacing w:after="0"/>
      </w:pPr>
    </w:p>
    <w:p>
      <w:pPr>
        <w:spacing w:after="120" w:line="278" w:lineRule="auto"/>
      </w:pPr>
      <w:r>
        <w:rPr>
          <w:rFonts w:ascii="Calibri" w:hAnsi="Calibri" w:eastAsia="Microsoft YaHei"/>
          <w:b w:val="0"/>
          <w:i w:val="0"/>
          <w:color w:val="202823"/>
          <w:sz w:val="21"/>
        </w:rPr>
        <w:t>依据 GRI 413 的社区参与思路，下一周期将为项目建立目标、投入、参与人数、合作方反馈与结果记录，使“支持过什么”逐步转化为“产生了什么可解释的改变”。</w:t>
      </w:r>
    </w:p>
    <w:p>
      <w:r>
        <w:br w:type="page"/>
      </w:r>
    </w:p>
    <w:p>
      <w:pPr>
        <w:spacing w:after="100"/>
      </w:pPr>
      <w:r>
        <w:rPr>
          <w:rFonts w:ascii="Calibri" w:hAnsi="Calibri" w:eastAsia="Microsoft YaHei"/>
          <w:b/>
          <w:i w:val="0"/>
          <w:color w:val="68452B"/>
          <w:sz w:val="17"/>
        </w:rPr>
        <w:t>ROADMAP</w:t>
      </w:r>
    </w:p>
    <w:p>
      <w:pPr>
        <w:pStyle w:val="Title"/>
        <w:spacing w:after="140"/>
      </w:pPr>
      <w:r>
        <w:rPr>
          <w:rFonts w:ascii="Calibri" w:hAnsi="Calibri" w:eastAsia="Microsoft YaHei"/>
          <w:b/>
          <w:i w:val="0"/>
          <w:color w:val="173F35"/>
          <w:sz w:val="48"/>
        </w:rPr>
        <w:t>2026—2027 行动路线图</w:t>
      </w:r>
    </w:p>
    <w:p>
      <w:pPr>
        <w:spacing w:after="280"/>
      </w:pPr>
      <w:r>
        <w:rPr>
          <w:rFonts w:ascii="Calibri" w:hAnsi="Calibri" w:eastAsia="Microsoft YaHei"/>
          <w:b w:val="0"/>
          <w:i w:val="0"/>
          <w:color w:val="66706B"/>
          <w:sz w:val="21"/>
        </w:rPr>
        <w:t>从可信披露走向可验证改进</w:t>
      </w:r>
    </w:p>
    <w:tbl>
      <w:tblPr>
        <w:tblW w:type="auto" w:w="0"/>
        <w:jc w:val="center"/>
        <w:tblLayout w:type="fixed"/>
        <w:tblLook w:firstColumn="1" w:firstRow="1" w:lastColumn="0" w:lastRow="0" w:noHBand="0" w:noVBand="1" w:val="04A0"/>
      </w:tblPr>
      <w:tblGrid>
        <w:gridCol w:w="2340"/>
        <w:gridCol w:w="2340"/>
        <w:gridCol w:w="2340"/>
        <w:gridCol w:w="2340"/>
      </w:tblGrid>
      <w:tr>
        <w:trPr>
          <w:tblHeader w:val="true"/>
        </w:trPr>
        <w:tc>
          <w:tcPr>
            <w:tcW w:type="dxa" w:w="1123"/>
            <w:shd w:fill="173F35"/>
            <w:tcMar>
              <w:top w:w="100" w:type="dxa"/>
              <w:start w:w="110" w:type="dxa"/>
              <w:bottom w:w="100" w:type="dxa"/>
              <w:end w:w="110" w:type="dxa"/>
            </w:tcMar>
            <w:tcBorders>
              <w:top w:val="single" w:sz="4" w:color="FFFFFF"/>
              <w:left w:val="single" w:sz="4" w:color="FFFFFF"/>
              <w:bottom w:val="single" w:sz="4" w:color="FFFFFF"/>
              <w:right w:val="single" w:sz="4" w:color="FFFFFF"/>
            </w:tcBorders>
          </w:tcPr>
          <w:p>
            <w:pPr>
              <w:spacing w:after="0"/>
            </w:pPr>
            <w:r>
              <w:rPr>
                <w:rFonts w:ascii="Calibri" w:hAnsi="Calibri" w:eastAsia="Microsoft YaHei"/>
                <w:b/>
                <w:i w:val="0"/>
                <w:color w:val="FFFFFF"/>
                <w:sz w:val="16"/>
              </w:rPr>
              <w:t>领域</w:t>
            </w:r>
          </w:p>
        </w:tc>
        <w:tc>
          <w:tcPr>
            <w:tcW w:type="dxa" w:w="2995"/>
            <w:shd w:fill="173F35"/>
            <w:tcMar>
              <w:top w:w="100" w:type="dxa"/>
              <w:start w:w="110" w:type="dxa"/>
              <w:bottom w:w="100" w:type="dxa"/>
              <w:end w:w="110" w:type="dxa"/>
            </w:tcMar>
            <w:tcBorders>
              <w:top w:val="single" w:sz="4" w:color="FFFFFF"/>
              <w:left w:val="single" w:sz="4" w:color="FFFFFF"/>
              <w:bottom w:val="single" w:sz="4" w:color="FFFFFF"/>
              <w:right w:val="single" w:sz="4" w:color="FFFFFF"/>
            </w:tcBorders>
          </w:tcPr>
          <w:p>
            <w:pPr>
              <w:spacing w:after="0"/>
            </w:pPr>
            <w:r>
              <w:rPr>
                <w:rFonts w:ascii="Calibri" w:hAnsi="Calibri" w:eastAsia="Microsoft YaHei"/>
                <w:b/>
                <w:i w:val="0"/>
                <w:color w:val="FFFFFF"/>
                <w:sz w:val="16"/>
              </w:rPr>
              <w:t>目标</w:t>
            </w:r>
          </w:p>
        </w:tc>
        <w:tc>
          <w:tcPr>
            <w:tcW w:type="dxa" w:w="4104"/>
            <w:shd w:fill="173F35"/>
            <w:tcMar>
              <w:top w:w="100" w:type="dxa"/>
              <w:start w:w="110" w:type="dxa"/>
              <w:bottom w:w="100" w:type="dxa"/>
              <w:end w:w="110" w:type="dxa"/>
            </w:tcMar>
            <w:tcBorders>
              <w:top w:val="single" w:sz="4" w:color="FFFFFF"/>
              <w:left w:val="single" w:sz="4" w:color="FFFFFF"/>
              <w:bottom w:val="single" w:sz="4" w:color="FFFFFF"/>
              <w:right w:val="single" w:sz="4" w:color="FFFFFF"/>
            </w:tcBorders>
          </w:tcPr>
          <w:p>
            <w:pPr>
              <w:spacing w:after="0"/>
            </w:pPr>
            <w:r>
              <w:rPr>
                <w:rFonts w:ascii="Calibri" w:hAnsi="Calibri" w:eastAsia="Microsoft YaHei"/>
                <w:b/>
                <w:i w:val="0"/>
                <w:color w:val="FFFFFF"/>
                <w:sz w:val="16"/>
              </w:rPr>
              <w:t>衡量方式</w:t>
            </w:r>
          </w:p>
        </w:tc>
        <w:tc>
          <w:tcPr>
            <w:tcW w:type="dxa" w:w="1138"/>
            <w:shd w:fill="173F35"/>
            <w:tcMar>
              <w:top w:w="100" w:type="dxa"/>
              <w:start w:w="110" w:type="dxa"/>
              <w:bottom w:w="100" w:type="dxa"/>
              <w:end w:w="110" w:type="dxa"/>
            </w:tcMar>
            <w:tcBorders>
              <w:top w:val="single" w:sz="4" w:color="FFFFFF"/>
              <w:left w:val="single" w:sz="4" w:color="FFFFFF"/>
              <w:bottom w:val="single" w:sz="4" w:color="FFFFFF"/>
              <w:right w:val="single" w:sz="4" w:color="FFFFFF"/>
            </w:tcBorders>
          </w:tcPr>
          <w:p>
            <w:pPr>
              <w:spacing w:after="0"/>
            </w:pPr>
            <w:r>
              <w:rPr>
                <w:rFonts w:ascii="Calibri" w:hAnsi="Calibri" w:eastAsia="Microsoft YaHei"/>
                <w:b/>
                <w:i w:val="0"/>
                <w:color w:val="FFFFFF"/>
                <w:sz w:val="16"/>
              </w:rPr>
              <w:t>时间</w:t>
            </w:r>
          </w:p>
        </w:tc>
      </w:tr>
      <w:tr>
        <w:tc>
          <w:tcPr>
            <w:tcW w:type="dxa" w:w="1123"/>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经济</w:t>
            </w:r>
          </w:p>
        </w:tc>
        <w:tc>
          <w:tcPr>
            <w:tcW w:type="dxa" w:w="2995"/>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完成 GRI 201-1 经济价值科目映射</w:t>
            </w:r>
          </w:p>
        </w:tc>
        <w:tc>
          <w:tcPr>
            <w:tcW w:type="dxa" w:w="4104"/>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收入、成本、薪酬、税费、社区投入可核对</w:t>
            </w:r>
          </w:p>
        </w:tc>
        <w:tc>
          <w:tcPr>
            <w:tcW w:type="dxa" w:w="1138"/>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2027 年报告前</w:t>
            </w:r>
          </w:p>
        </w:tc>
      </w:tr>
      <w:tr>
        <w:tc>
          <w:tcPr>
            <w:tcW w:type="dxa" w:w="1123"/>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包装</w:t>
            </w:r>
          </w:p>
        </w:tc>
        <w:tc>
          <w:tcPr>
            <w:tcW w:type="dxa" w:w="2995"/>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覆盖主要 SKU 的包装称重</w:t>
            </w:r>
          </w:p>
        </w:tc>
        <w:tc>
          <w:tcPr>
            <w:tcW w:type="dxa" w:w="4104"/>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瓶、盖、标签、外盒分别记录克重与材质</w:t>
            </w:r>
          </w:p>
        </w:tc>
        <w:tc>
          <w:tcPr>
            <w:tcW w:type="dxa" w:w="1138"/>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2026 年</w:t>
            </w:r>
          </w:p>
        </w:tc>
      </w:tr>
      <w:tr>
        <w:tc>
          <w:tcPr>
            <w:tcW w:type="dxa" w:w="1123"/>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运输</w:t>
            </w:r>
          </w:p>
        </w:tc>
        <w:tc>
          <w:tcPr>
            <w:tcW w:type="dxa" w:w="2995"/>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建立物流吨公里基线</w:t>
            </w:r>
          </w:p>
        </w:tc>
        <w:tc>
          <w:tcPr>
            <w:tcW w:type="dxa" w:w="4104"/>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订单重量、里程、运输方式与排放因子</w:t>
            </w:r>
          </w:p>
        </w:tc>
        <w:tc>
          <w:tcPr>
            <w:tcW w:type="dxa" w:w="1138"/>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2026—2027 年</w:t>
            </w:r>
          </w:p>
        </w:tc>
      </w:tr>
      <w:tr>
        <w:tc>
          <w:tcPr>
            <w:tcW w:type="dxa" w:w="1123"/>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气候</w:t>
            </w:r>
          </w:p>
        </w:tc>
        <w:tc>
          <w:tcPr>
            <w:tcW w:type="dxa" w:w="2995"/>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完成首次 Scope 1、2 盘查并筛查重要 Scope 3</w:t>
            </w:r>
          </w:p>
        </w:tc>
        <w:tc>
          <w:tcPr>
            <w:tcW w:type="dxa" w:w="4104"/>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采用一致边界与可追溯活动数据</w:t>
            </w:r>
          </w:p>
        </w:tc>
        <w:tc>
          <w:tcPr>
            <w:tcW w:type="dxa" w:w="1138"/>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2027 年</w:t>
            </w:r>
          </w:p>
        </w:tc>
      </w:tr>
      <w:tr>
        <w:tc>
          <w:tcPr>
            <w:tcW w:type="dxa" w:w="1123"/>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产品</w:t>
            </w:r>
          </w:p>
        </w:tc>
        <w:tc>
          <w:tcPr>
            <w:tcW w:type="dxa" w:w="2995"/>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建立主要产品证据档案</w:t>
            </w:r>
          </w:p>
        </w:tc>
        <w:tc>
          <w:tcPr>
            <w:tcW w:type="dxa" w:w="4104"/>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配方、供应链规格、检验、用法与宣称依据</w:t>
            </w:r>
          </w:p>
        </w:tc>
        <w:tc>
          <w:tcPr>
            <w:tcW w:type="dxa" w:w="1138"/>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持续</w:t>
            </w:r>
          </w:p>
        </w:tc>
      </w:tr>
      <w:tr>
        <w:tc>
          <w:tcPr>
            <w:tcW w:type="dxa" w:w="1123"/>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水环境</w:t>
            </w:r>
          </w:p>
        </w:tc>
        <w:tc>
          <w:tcPr>
            <w:tcW w:type="dxa" w:w="2995"/>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确定至少一个优先产品的环境评估路径</w:t>
            </w:r>
          </w:p>
        </w:tc>
        <w:tc>
          <w:tcPr>
            <w:tcW w:type="dxa" w:w="4104"/>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生物降解、生态毒性或简化 LCA 方案</w:t>
            </w:r>
          </w:p>
        </w:tc>
        <w:tc>
          <w:tcPr>
            <w:tcW w:type="dxa" w:w="1138"/>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2027 年</w:t>
            </w:r>
          </w:p>
        </w:tc>
      </w:tr>
      <w:tr>
        <w:tc>
          <w:tcPr>
            <w:tcW w:type="dxa" w:w="1123"/>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社会</w:t>
            </w:r>
          </w:p>
        </w:tc>
        <w:tc>
          <w:tcPr>
            <w:tcW w:type="dxa" w:w="2995"/>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完善培训与社区项目结果记录</w:t>
            </w:r>
          </w:p>
        </w:tc>
        <w:tc>
          <w:tcPr>
            <w:tcW w:type="dxa" w:w="4104"/>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时长、完成率、参与者反馈与后续去向</w:t>
            </w:r>
          </w:p>
        </w:tc>
        <w:tc>
          <w:tcPr>
            <w:tcW w:type="dxa" w:w="1138"/>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每个项目结束后</w:t>
            </w:r>
          </w:p>
        </w:tc>
      </w:tr>
      <w:tr>
        <w:tc>
          <w:tcPr>
            <w:tcW w:type="dxa" w:w="1123"/>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治理</w:t>
            </w:r>
          </w:p>
        </w:tc>
        <w:tc>
          <w:tcPr>
            <w:tcW w:type="dxa" w:w="2995"/>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建立可持续声明审核清单</w:t>
            </w:r>
          </w:p>
        </w:tc>
        <w:tc>
          <w:tcPr>
            <w:tcW w:type="dxa" w:w="4104"/>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对“天然、环保、无残留、减碳”等用语留证</w:t>
            </w:r>
          </w:p>
        </w:tc>
        <w:tc>
          <w:tcPr>
            <w:tcW w:type="dxa" w:w="1138"/>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2026 年</w:t>
            </w:r>
          </w:p>
        </w:tc>
      </w:tr>
    </w:tbl>
    <w:p>
      <w:pPr>
        <w:spacing w:after="0"/>
      </w:pPr>
    </w:p>
    <w:p>
      <w:pPr>
        <w:pStyle w:val="Heading2"/>
        <w:keepNext/>
      </w:pPr>
      <w:r>
        <w:rPr>
          <w:rFonts w:ascii="Calibri" w:hAnsi="Calibri" w:eastAsia="Microsoft YaHei"/>
          <w:b/>
          <w:i w:val="0"/>
          <w:color w:val="68452B"/>
          <w:sz w:val="25"/>
        </w:rPr>
        <w:t>优先级</w:t>
      </w:r>
    </w:p>
    <w:p>
      <w:pPr>
        <w:spacing w:after="120" w:line="278" w:lineRule="auto"/>
      </w:pPr>
      <w:r>
        <w:rPr>
          <w:rFonts w:ascii="Calibri" w:hAnsi="Calibri" w:eastAsia="Microsoft YaHei"/>
          <w:b w:val="0"/>
          <w:i w:val="0"/>
          <w:color w:val="202823"/>
          <w:sz w:val="21"/>
        </w:rPr>
        <w:t>第一优先是补齐基础数据和声明证据；第二优先是建立产品与物流基线；第三优先是在数据稳定后设定定量目标。吐枝不会用未经验证的目标制造确定性，而会公开方法、边界和修订。</w:t>
      </w:r>
    </w:p>
    <w:p>
      <w:r>
        <w:br w:type="page"/>
      </w:r>
    </w:p>
    <w:p>
      <w:pPr>
        <w:spacing w:after="100"/>
      </w:pPr>
      <w:r>
        <w:rPr>
          <w:rFonts w:ascii="Calibri" w:hAnsi="Calibri" w:eastAsia="Microsoft YaHei"/>
          <w:b/>
          <w:i w:val="0"/>
          <w:color w:val="68452B"/>
          <w:sz w:val="17"/>
        </w:rPr>
        <w:t>GRI CONTENT INDEX</w:t>
      </w:r>
    </w:p>
    <w:p>
      <w:pPr>
        <w:pStyle w:val="Title"/>
        <w:spacing w:after="140"/>
      </w:pPr>
      <w:r>
        <w:rPr>
          <w:rFonts w:ascii="Calibri" w:hAnsi="Calibri" w:eastAsia="Microsoft YaHei"/>
          <w:b/>
          <w:i w:val="0"/>
          <w:color w:val="173F35"/>
          <w:sz w:val="48"/>
        </w:rPr>
        <w:t>GRI 内容索引</w:t>
      </w:r>
    </w:p>
    <w:p>
      <w:pPr>
        <w:spacing w:after="280"/>
      </w:pPr>
      <w:r>
        <w:rPr>
          <w:rFonts w:ascii="Calibri" w:hAnsi="Calibri" w:eastAsia="Microsoft YaHei"/>
          <w:b w:val="0"/>
          <w:i w:val="0"/>
          <w:color w:val="66706B"/>
          <w:sz w:val="21"/>
        </w:rPr>
        <w:t>声明：本报告参照 GRI 标准编制</w:t>
      </w:r>
    </w:p>
    <w:p>
      <w:pPr>
        <w:spacing w:after="80" w:line="264" w:lineRule="auto"/>
      </w:pPr>
      <w:r>
        <w:rPr>
          <w:rFonts w:ascii="Calibri" w:hAnsi="Calibri" w:eastAsia="Microsoft YaHei"/>
          <w:b w:val="0"/>
          <w:i w:val="0"/>
          <w:color w:val="66706B"/>
          <w:sz w:val="17"/>
        </w:rPr>
        <w:t>适用 GRI 版本：GRI 1、GRI 2、GRI 3（2021）及相关主题标准。未识别到适用于本公司业务的 GRI 行业标准。</w:t>
      </w:r>
    </w:p>
    <w:tbl>
      <w:tblPr>
        <w:tblW w:type="auto" w:w="0"/>
        <w:jc w:val="center"/>
        <w:tblLayout w:type="fixed"/>
        <w:tblLook w:firstColumn="1" w:firstRow="1" w:lastColumn="0" w:lastRow="0" w:noHBand="0" w:noVBand="1" w:val="04A0"/>
      </w:tblPr>
      <w:tblGrid>
        <w:gridCol w:w="2340"/>
        <w:gridCol w:w="2340"/>
        <w:gridCol w:w="2340"/>
        <w:gridCol w:w="2340"/>
      </w:tblGrid>
      <w:tr>
        <w:trPr>
          <w:tblHeader w:val="true"/>
        </w:trPr>
        <w:tc>
          <w:tcPr>
            <w:tcW w:type="dxa" w:w="1440"/>
            <w:shd w:fill="173F35"/>
            <w:tcMar>
              <w:top w:w="100" w:type="dxa"/>
              <w:start w:w="110" w:type="dxa"/>
              <w:bottom w:w="100" w:type="dxa"/>
              <w:end w:w="110" w:type="dxa"/>
            </w:tcMar>
            <w:tcBorders>
              <w:top w:val="single" w:sz="4" w:color="FFFFFF"/>
              <w:left w:val="single" w:sz="4" w:color="FFFFFF"/>
              <w:bottom w:val="single" w:sz="4" w:color="FFFFFF"/>
              <w:right w:val="single" w:sz="4" w:color="FFFFFF"/>
            </w:tcBorders>
          </w:tcPr>
          <w:p>
            <w:pPr>
              <w:spacing w:after="0"/>
            </w:pPr>
            <w:r>
              <w:rPr>
                <w:rFonts w:ascii="Calibri" w:hAnsi="Calibri" w:eastAsia="Microsoft YaHei"/>
                <w:b/>
                <w:i w:val="0"/>
                <w:color w:val="FFFFFF"/>
                <w:sz w:val="16"/>
              </w:rPr>
              <w:t>GRI 披露</w:t>
            </w:r>
          </w:p>
        </w:tc>
        <w:tc>
          <w:tcPr>
            <w:tcW w:type="dxa" w:w="2477"/>
            <w:shd w:fill="173F35"/>
            <w:tcMar>
              <w:top w:w="100" w:type="dxa"/>
              <w:start w:w="110" w:type="dxa"/>
              <w:bottom w:w="100" w:type="dxa"/>
              <w:end w:w="110" w:type="dxa"/>
            </w:tcMar>
            <w:tcBorders>
              <w:top w:val="single" w:sz="4" w:color="FFFFFF"/>
              <w:left w:val="single" w:sz="4" w:color="FFFFFF"/>
              <w:bottom w:val="single" w:sz="4" w:color="FFFFFF"/>
              <w:right w:val="single" w:sz="4" w:color="FFFFFF"/>
            </w:tcBorders>
          </w:tcPr>
          <w:p>
            <w:pPr>
              <w:spacing w:after="0"/>
            </w:pPr>
            <w:r>
              <w:rPr>
                <w:rFonts w:ascii="Calibri" w:hAnsi="Calibri" w:eastAsia="Microsoft YaHei"/>
                <w:b/>
                <w:i w:val="0"/>
                <w:color w:val="FFFFFF"/>
                <w:sz w:val="16"/>
              </w:rPr>
              <w:t>要求</w:t>
            </w:r>
          </w:p>
        </w:tc>
        <w:tc>
          <w:tcPr>
            <w:tcW w:type="dxa" w:w="1296"/>
            <w:shd w:fill="173F35"/>
            <w:tcMar>
              <w:top w:w="100" w:type="dxa"/>
              <w:start w:w="110" w:type="dxa"/>
              <w:bottom w:w="100" w:type="dxa"/>
              <w:end w:w="110" w:type="dxa"/>
            </w:tcMar>
            <w:tcBorders>
              <w:top w:val="single" w:sz="4" w:color="FFFFFF"/>
              <w:left w:val="single" w:sz="4" w:color="FFFFFF"/>
              <w:bottom w:val="single" w:sz="4" w:color="FFFFFF"/>
              <w:right w:val="single" w:sz="4" w:color="FFFFFF"/>
            </w:tcBorders>
          </w:tcPr>
          <w:p>
            <w:pPr>
              <w:spacing w:after="0"/>
            </w:pPr>
            <w:r>
              <w:rPr>
                <w:rFonts w:ascii="Calibri" w:hAnsi="Calibri" w:eastAsia="Microsoft YaHei"/>
                <w:b/>
                <w:i w:val="0"/>
                <w:color w:val="FFFFFF"/>
                <w:sz w:val="16"/>
              </w:rPr>
              <w:t>位置</w:t>
            </w:r>
          </w:p>
        </w:tc>
        <w:tc>
          <w:tcPr>
            <w:tcW w:type="dxa" w:w="4147"/>
            <w:shd w:fill="173F35"/>
            <w:tcMar>
              <w:top w:w="100" w:type="dxa"/>
              <w:start w:w="110" w:type="dxa"/>
              <w:bottom w:w="100" w:type="dxa"/>
              <w:end w:w="110" w:type="dxa"/>
            </w:tcMar>
            <w:tcBorders>
              <w:top w:val="single" w:sz="4" w:color="FFFFFF"/>
              <w:left w:val="single" w:sz="4" w:color="FFFFFF"/>
              <w:bottom w:val="single" w:sz="4" w:color="FFFFFF"/>
              <w:right w:val="single" w:sz="4" w:color="FFFFFF"/>
            </w:tcBorders>
          </w:tcPr>
          <w:p>
            <w:pPr>
              <w:spacing w:after="0"/>
            </w:pPr>
            <w:r>
              <w:rPr>
                <w:rFonts w:ascii="Calibri" w:hAnsi="Calibri" w:eastAsia="Microsoft YaHei"/>
                <w:b/>
                <w:i w:val="0"/>
                <w:color w:val="FFFFFF"/>
                <w:sz w:val="16"/>
              </w:rPr>
              <w:t>说明/省略</w:t>
            </w:r>
          </w:p>
        </w:tc>
      </w:tr>
      <w:tr>
        <w:tc>
          <w:tcPr>
            <w:tcW w:type="dxa" w:w="1440"/>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GRI 2-1</w:t>
            </w:r>
          </w:p>
        </w:tc>
        <w:tc>
          <w:tcPr>
            <w:tcW w:type="dxa" w:w="2477"/>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组织详细信息</w:t>
            </w:r>
          </w:p>
        </w:tc>
        <w:tc>
          <w:tcPr>
            <w:tcW w:type="dxa" w:w="1296"/>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第 2、5 页</w:t>
            </w:r>
          </w:p>
        </w:tc>
        <w:tc>
          <w:tcPr>
            <w:tcW w:type="dxa" w:w="4147"/>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部分：披露实体与品牌；未披露注册地址等隐私/非必要信息</w:t>
            </w:r>
          </w:p>
        </w:tc>
      </w:tr>
      <w:tr>
        <w:tc>
          <w:tcPr>
            <w:tcW w:type="dxa" w:w="1440"/>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GRI 2-2</w:t>
            </w:r>
          </w:p>
        </w:tc>
        <w:tc>
          <w:tcPr>
            <w:tcW w:type="dxa" w:w="2477"/>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纳入可持续报告的实体</w:t>
            </w:r>
          </w:p>
        </w:tc>
        <w:tc>
          <w:tcPr>
            <w:tcW w:type="dxa" w:w="1296"/>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第 2 页</w:t>
            </w:r>
          </w:p>
        </w:tc>
        <w:tc>
          <w:tcPr>
            <w:tcW w:type="dxa" w:w="4147"/>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成都植念科技有限公司及吐枝品牌</w:t>
            </w:r>
          </w:p>
        </w:tc>
      </w:tr>
      <w:tr>
        <w:tc>
          <w:tcPr>
            <w:tcW w:type="dxa" w:w="1440"/>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GRI 2-3</w:t>
            </w:r>
          </w:p>
        </w:tc>
        <w:tc>
          <w:tcPr>
            <w:tcW w:type="dxa" w:w="2477"/>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报告期、频率与联系点</w:t>
            </w:r>
          </w:p>
        </w:tc>
        <w:tc>
          <w:tcPr>
            <w:tcW w:type="dxa" w:w="1296"/>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第 2 页</w:t>
            </w:r>
          </w:p>
        </w:tc>
        <w:tc>
          <w:tcPr>
            <w:tcW w:type="dxa" w:w="4147"/>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已披露；联系点为官网</w:t>
            </w:r>
          </w:p>
        </w:tc>
      </w:tr>
      <w:tr>
        <w:tc>
          <w:tcPr>
            <w:tcW w:type="dxa" w:w="1440"/>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GRI 2-5</w:t>
            </w:r>
          </w:p>
        </w:tc>
        <w:tc>
          <w:tcPr>
            <w:tcW w:type="dxa" w:w="2477"/>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外部鉴证</w:t>
            </w:r>
          </w:p>
        </w:tc>
        <w:tc>
          <w:tcPr>
            <w:tcW w:type="dxa" w:w="1296"/>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第 2 页</w:t>
            </w:r>
          </w:p>
        </w:tc>
        <w:tc>
          <w:tcPr>
            <w:tcW w:type="dxa" w:w="4147"/>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未进行外部鉴证</w:t>
            </w:r>
          </w:p>
        </w:tc>
      </w:tr>
      <w:tr>
        <w:tc>
          <w:tcPr>
            <w:tcW w:type="dxa" w:w="1440"/>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GRI 2-6</w:t>
            </w:r>
          </w:p>
        </w:tc>
        <w:tc>
          <w:tcPr>
            <w:tcW w:type="dxa" w:w="2477"/>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活动、价值链与业务关系</w:t>
            </w:r>
          </w:p>
        </w:tc>
        <w:tc>
          <w:tcPr>
            <w:tcW w:type="dxa" w:w="1296"/>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第 5 页</w:t>
            </w:r>
          </w:p>
        </w:tc>
        <w:tc>
          <w:tcPr>
            <w:tcW w:type="dxa" w:w="4147"/>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部分披露</w:t>
            </w:r>
          </w:p>
        </w:tc>
      </w:tr>
      <w:tr>
        <w:tc>
          <w:tcPr>
            <w:tcW w:type="dxa" w:w="1440"/>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GRI 2-22</w:t>
            </w:r>
          </w:p>
        </w:tc>
        <w:tc>
          <w:tcPr>
            <w:tcW w:type="dxa" w:w="2477"/>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可持续发展战略声明</w:t>
            </w:r>
          </w:p>
        </w:tc>
        <w:tc>
          <w:tcPr>
            <w:tcW w:type="dxa" w:w="1296"/>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第 3 页</w:t>
            </w:r>
          </w:p>
        </w:tc>
        <w:tc>
          <w:tcPr>
            <w:tcW w:type="dxa" w:w="4147"/>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管理层致辞</w:t>
            </w:r>
          </w:p>
        </w:tc>
      </w:tr>
      <w:tr>
        <w:tc>
          <w:tcPr>
            <w:tcW w:type="dxa" w:w="1440"/>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GRI 2-29</w:t>
            </w:r>
          </w:p>
        </w:tc>
        <w:tc>
          <w:tcPr>
            <w:tcW w:type="dxa" w:w="2477"/>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利益相关方参与方法</w:t>
            </w:r>
          </w:p>
        </w:tc>
        <w:tc>
          <w:tcPr>
            <w:tcW w:type="dxa" w:w="1296"/>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第 6 页</w:t>
            </w:r>
          </w:p>
        </w:tc>
        <w:tc>
          <w:tcPr>
            <w:tcW w:type="dxa" w:w="4147"/>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部分：初步识别，未开展正式调研</w:t>
            </w:r>
          </w:p>
        </w:tc>
      </w:tr>
      <w:tr>
        <w:tc>
          <w:tcPr>
            <w:tcW w:type="dxa" w:w="1440"/>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GRI 3-1</w:t>
            </w:r>
          </w:p>
        </w:tc>
        <w:tc>
          <w:tcPr>
            <w:tcW w:type="dxa" w:w="2477"/>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确定重要议题的过程</w:t>
            </w:r>
          </w:p>
        </w:tc>
        <w:tc>
          <w:tcPr>
            <w:tcW w:type="dxa" w:w="1296"/>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第 6 页</w:t>
            </w:r>
          </w:p>
        </w:tc>
        <w:tc>
          <w:tcPr>
            <w:tcW w:type="dxa" w:w="4147"/>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部分：管理层桌面梳理</w:t>
            </w:r>
          </w:p>
        </w:tc>
      </w:tr>
      <w:tr>
        <w:tc>
          <w:tcPr>
            <w:tcW w:type="dxa" w:w="1440"/>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GRI 3-2</w:t>
            </w:r>
          </w:p>
        </w:tc>
        <w:tc>
          <w:tcPr>
            <w:tcW w:type="dxa" w:w="2477"/>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重要议题清单</w:t>
            </w:r>
          </w:p>
        </w:tc>
        <w:tc>
          <w:tcPr>
            <w:tcW w:type="dxa" w:w="1296"/>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第 6 页</w:t>
            </w:r>
          </w:p>
        </w:tc>
        <w:tc>
          <w:tcPr>
            <w:tcW w:type="dxa" w:w="4147"/>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已披露初步清单</w:t>
            </w:r>
          </w:p>
        </w:tc>
      </w:tr>
      <w:tr>
        <w:tc>
          <w:tcPr>
            <w:tcW w:type="dxa" w:w="1440"/>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GRI 3-3</w:t>
            </w:r>
          </w:p>
        </w:tc>
        <w:tc>
          <w:tcPr>
            <w:tcW w:type="dxa" w:w="2477"/>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重要议题管理</w:t>
            </w:r>
          </w:p>
        </w:tc>
        <w:tc>
          <w:tcPr>
            <w:tcW w:type="dxa" w:w="1296"/>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第 6—12 页</w:t>
            </w:r>
          </w:p>
        </w:tc>
        <w:tc>
          <w:tcPr>
            <w:tcW w:type="dxa" w:w="4147"/>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按主题说明方法、边界与下一步</w:t>
            </w:r>
          </w:p>
        </w:tc>
      </w:tr>
    </w:tbl>
    <w:p>
      <w:pPr>
        <w:spacing w:after="0"/>
      </w:pPr>
    </w:p>
    <w:p>
      <w:r>
        <w:br w:type="page"/>
      </w:r>
    </w:p>
    <w:p>
      <w:pPr>
        <w:spacing w:after="100"/>
      </w:pPr>
      <w:r>
        <w:rPr>
          <w:rFonts w:ascii="Calibri" w:hAnsi="Calibri" w:eastAsia="Microsoft YaHei"/>
          <w:b/>
          <w:i w:val="0"/>
          <w:color w:val="68452B"/>
          <w:sz w:val="17"/>
        </w:rPr>
        <w:t>GRI CONTENT INDEX</w:t>
      </w:r>
    </w:p>
    <w:p>
      <w:pPr>
        <w:pStyle w:val="Title"/>
        <w:spacing w:after="140"/>
      </w:pPr>
      <w:r>
        <w:rPr>
          <w:rFonts w:ascii="Calibri" w:hAnsi="Calibri" w:eastAsia="Microsoft YaHei"/>
          <w:b/>
          <w:i w:val="0"/>
          <w:color w:val="173F35"/>
          <w:sz w:val="48"/>
        </w:rPr>
        <w:t>主题标准索引</w:t>
      </w:r>
    </w:p>
    <w:p>
      <w:pPr>
        <w:spacing w:after="280"/>
      </w:pPr>
      <w:r>
        <w:rPr>
          <w:rFonts w:ascii="Calibri" w:hAnsi="Calibri" w:eastAsia="Microsoft YaHei"/>
          <w:b w:val="0"/>
          <w:i w:val="0"/>
          <w:color w:val="66706B"/>
          <w:sz w:val="21"/>
        </w:rPr>
        <w:t>部分披露与信息缺口</w:t>
      </w:r>
    </w:p>
    <w:tbl>
      <w:tblPr>
        <w:tblW w:type="auto" w:w="0"/>
        <w:jc w:val="center"/>
        <w:tblLayout w:type="fixed"/>
        <w:tblLook w:firstColumn="1" w:firstRow="1" w:lastColumn="0" w:lastRow="0" w:noHBand="0" w:noVBand="1" w:val="04A0"/>
      </w:tblPr>
      <w:tblGrid>
        <w:gridCol w:w="2340"/>
        <w:gridCol w:w="2340"/>
        <w:gridCol w:w="2340"/>
        <w:gridCol w:w="2340"/>
      </w:tblGrid>
      <w:tr>
        <w:trPr>
          <w:tblHeader w:val="true"/>
        </w:trPr>
        <w:tc>
          <w:tcPr>
            <w:tcW w:type="dxa" w:w="1440"/>
            <w:shd w:fill="173F35"/>
            <w:tcMar>
              <w:top w:w="100" w:type="dxa"/>
              <w:start w:w="110" w:type="dxa"/>
              <w:bottom w:w="100" w:type="dxa"/>
              <w:end w:w="110" w:type="dxa"/>
            </w:tcMar>
            <w:tcBorders>
              <w:top w:val="single" w:sz="4" w:color="FFFFFF"/>
              <w:left w:val="single" w:sz="4" w:color="FFFFFF"/>
              <w:bottom w:val="single" w:sz="4" w:color="FFFFFF"/>
              <w:right w:val="single" w:sz="4" w:color="FFFFFF"/>
            </w:tcBorders>
          </w:tcPr>
          <w:p>
            <w:pPr>
              <w:spacing w:after="0"/>
            </w:pPr>
            <w:r>
              <w:rPr>
                <w:rFonts w:ascii="Calibri" w:hAnsi="Calibri" w:eastAsia="Microsoft YaHei"/>
                <w:b/>
                <w:i w:val="0"/>
                <w:color w:val="FFFFFF"/>
                <w:sz w:val="16"/>
              </w:rPr>
              <w:t>GRI 披露</w:t>
            </w:r>
          </w:p>
        </w:tc>
        <w:tc>
          <w:tcPr>
            <w:tcW w:type="dxa" w:w="2477"/>
            <w:shd w:fill="173F35"/>
            <w:tcMar>
              <w:top w:w="100" w:type="dxa"/>
              <w:start w:w="110" w:type="dxa"/>
              <w:bottom w:w="100" w:type="dxa"/>
              <w:end w:w="110" w:type="dxa"/>
            </w:tcMar>
            <w:tcBorders>
              <w:top w:val="single" w:sz="4" w:color="FFFFFF"/>
              <w:left w:val="single" w:sz="4" w:color="FFFFFF"/>
              <w:bottom w:val="single" w:sz="4" w:color="FFFFFF"/>
              <w:right w:val="single" w:sz="4" w:color="FFFFFF"/>
            </w:tcBorders>
          </w:tcPr>
          <w:p>
            <w:pPr>
              <w:spacing w:after="0"/>
            </w:pPr>
            <w:r>
              <w:rPr>
                <w:rFonts w:ascii="Calibri" w:hAnsi="Calibri" w:eastAsia="Microsoft YaHei"/>
                <w:b/>
                <w:i w:val="0"/>
                <w:color w:val="FFFFFF"/>
                <w:sz w:val="16"/>
              </w:rPr>
              <w:t>要求</w:t>
            </w:r>
          </w:p>
        </w:tc>
        <w:tc>
          <w:tcPr>
            <w:tcW w:type="dxa" w:w="1296"/>
            <w:shd w:fill="173F35"/>
            <w:tcMar>
              <w:top w:w="100" w:type="dxa"/>
              <w:start w:w="110" w:type="dxa"/>
              <w:bottom w:w="100" w:type="dxa"/>
              <w:end w:w="110" w:type="dxa"/>
            </w:tcMar>
            <w:tcBorders>
              <w:top w:val="single" w:sz="4" w:color="FFFFFF"/>
              <w:left w:val="single" w:sz="4" w:color="FFFFFF"/>
              <w:bottom w:val="single" w:sz="4" w:color="FFFFFF"/>
              <w:right w:val="single" w:sz="4" w:color="FFFFFF"/>
            </w:tcBorders>
          </w:tcPr>
          <w:p>
            <w:pPr>
              <w:spacing w:after="0"/>
            </w:pPr>
            <w:r>
              <w:rPr>
                <w:rFonts w:ascii="Calibri" w:hAnsi="Calibri" w:eastAsia="Microsoft YaHei"/>
                <w:b/>
                <w:i w:val="0"/>
                <w:color w:val="FFFFFF"/>
                <w:sz w:val="16"/>
              </w:rPr>
              <w:t>位置</w:t>
            </w:r>
          </w:p>
        </w:tc>
        <w:tc>
          <w:tcPr>
            <w:tcW w:type="dxa" w:w="4147"/>
            <w:shd w:fill="173F35"/>
            <w:tcMar>
              <w:top w:w="100" w:type="dxa"/>
              <w:start w:w="110" w:type="dxa"/>
              <w:bottom w:w="100" w:type="dxa"/>
              <w:end w:w="110" w:type="dxa"/>
            </w:tcMar>
            <w:tcBorders>
              <w:top w:val="single" w:sz="4" w:color="FFFFFF"/>
              <w:left w:val="single" w:sz="4" w:color="FFFFFF"/>
              <w:bottom w:val="single" w:sz="4" w:color="FFFFFF"/>
              <w:right w:val="single" w:sz="4" w:color="FFFFFF"/>
            </w:tcBorders>
          </w:tcPr>
          <w:p>
            <w:pPr>
              <w:spacing w:after="0"/>
            </w:pPr>
            <w:r>
              <w:rPr>
                <w:rFonts w:ascii="Calibri" w:hAnsi="Calibri" w:eastAsia="Microsoft YaHei"/>
                <w:b/>
                <w:i w:val="0"/>
                <w:color w:val="FFFFFF"/>
                <w:sz w:val="16"/>
              </w:rPr>
              <w:t>说明/省略</w:t>
            </w:r>
          </w:p>
        </w:tc>
      </w:tr>
      <w:tr>
        <w:tc>
          <w:tcPr>
            <w:tcW w:type="dxa" w:w="1440"/>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GRI 201-1</w:t>
            </w:r>
          </w:p>
        </w:tc>
        <w:tc>
          <w:tcPr>
            <w:tcW w:type="dxa" w:w="2477"/>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直接产生和分配的经济价值</w:t>
            </w:r>
          </w:p>
        </w:tc>
        <w:tc>
          <w:tcPr>
            <w:tcW w:type="dxa" w:w="1296"/>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第 7 页</w:t>
            </w:r>
          </w:p>
        </w:tc>
        <w:tc>
          <w:tcPr>
            <w:tcW w:type="dxa" w:w="4147"/>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部分：仅披露营业收入；其他经济价值科目暂无完整数据</w:t>
            </w:r>
          </w:p>
        </w:tc>
      </w:tr>
      <w:tr>
        <w:tc>
          <w:tcPr>
            <w:tcW w:type="dxa" w:w="1440"/>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GRI 301-1</w:t>
            </w:r>
          </w:p>
        </w:tc>
        <w:tc>
          <w:tcPr>
            <w:tcW w:type="dxa" w:w="2477"/>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所用材料的重量或体积</w:t>
            </w:r>
          </w:p>
        </w:tc>
        <w:tc>
          <w:tcPr>
            <w:tcW w:type="dxa" w:w="1296"/>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第 8 页</w:t>
            </w:r>
          </w:p>
        </w:tc>
        <w:tc>
          <w:tcPr>
            <w:tcW w:type="dxa" w:w="4147"/>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省略：包装材料与主要原料重量数据不可得</w:t>
            </w:r>
          </w:p>
        </w:tc>
      </w:tr>
      <w:tr>
        <w:tc>
          <w:tcPr>
            <w:tcW w:type="dxa" w:w="1440"/>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GRI 305</w:t>
            </w:r>
          </w:p>
        </w:tc>
        <w:tc>
          <w:tcPr>
            <w:tcW w:type="dxa" w:w="2477"/>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排放</w:t>
            </w:r>
          </w:p>
        </w:tc>
        <w:tc>
          <w:tcPr>
            <w:tcW w:type="dxa" w:w="1296"/>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第 9 页</w:t>
            </w:r>
          </w:p>
        </w:tc>
        <w:tc>
          <w:tcPr>
            <w:tcW w:type="dxa" w:w="4147"/>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省略：未完成 Scope 1、2、3 清单；95,000 kg 为质量而非 CO2e</w:t>
            </w:r>
          </w:p>
        </w:tc>
      </w:tr>
      <w:tr>
        <w:tc>
          <w:tcPr>
            <w:tcW w:type="dxa" w:w="1440"/>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GRI 306-1</w:t>
            </w:r>
          </w:p>
        </w:tc>
        <w:tc>
          <w:tcPr>
            <w:tcW w:type="dxa" w:w="2477"/>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废弃物产生及重大影响</w:t>
            </w:r>
          </w:p>
        </w:tc>
        <w:tc>
          <w:tcPr>
            <w:tcW w:type="dxa" w:w="1296"/>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第 5、8、10 页</w:t>
            </w:r>
          </w:p>
        </w:tc>
        <w:tc>
          <w:tcPr>
            <w:tcW w:type="dxa" w:w="4147"/>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部分：描述产品与包装影响路径</w:t>
            </w:r>
          </w:p>
        </w:tc>
      </w:tr>
      <w:tr>
        <w:tc>
          <w:tcPr>
            <w:tcW w:type="dxa" w:w="1440"/>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GRI 306-2</w:t>
            </w:r>
          </w:p>
        </w:tc>
        <w:tc>
          <w:tcPr>
            <w:tcW w:type="dxa" w:w="2477"/>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废弃物相关重大影响管理</w:t>
            </w:r>
          </w:p>
        </w:tc>
        <w:tc>
          <w:tcPr>
            <w:tcW w:type="dxa" w:w="1296"/>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第 8、12 页</w:t>
            </w:r>
          </w:p>
        </w:tc>
        <w:tc>
          <w:tcPr>
            <w:tcW w:type="dxa" w:w="4147"/>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部分：披露预防思路与数据改进计划</w:t>
            </w:r>
          </w:p>
        </w:tc>
      </w:tr>
      <w:tr>
        <w:tc>
          <w:tcPr>
            <w:tcW w:type="dxa" w:w="1440"/>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GRI 306-3/4/5</w:t>
            </w:r>
          </w:p>
        </w:tc>
        <w:tc>
          <w:tcPr>
            <w:tcW w:type="dxa" w:w="2477"/>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废弃物产生、转移与处置</w:t>
            </w:r>
          </w:p>
        </w:tc>
        <w:tc>
          <w:tcPr>
            <w:tcW w:type="dxa" w:w="1296"/>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w:t>
            </w:r>
          </w:p>
        </w:tc>
        <w:tc>
          <w:tcPr>
            <w:tcW w:type="dxa" w:w="4147"/>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省略：未取得包装重量与去向数据；瓶装替代当量不等同废弃物重量</w:t>
            </w:r>
          </w:p>
        </w:tc>
      </w:tr>
      <w:tr>
        <w:tc>
          <w:tcPr>
            <w:tcW w:type="dxa" w:w="1440"/>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GRI 413-1</w:t>
            </w:r>
          </w:p>
        </w:tc>
        <w:tc>
          <w:tcPr>
            <w:tcW w:type="dxa" w:w="2477"/>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当地社区参与与发展项目</w:t>
            </w:r>
          </w:p>
        </w:tc>
        <w:tc>
          <w:tcPr>
            <w:tcW w:type="dxa" w:w="1296"/>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第 11 页</w:t>
            </w:r>
          </w:p>
        </w:tc>
        <w:tc>
          <w:tcPr>
            <w:tcW w:type="dxa" w:w="4147"/>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5"/>
              </w:rPr>
              <w:t>部分：披露培训与赞助项目，结果数据仍不完整</w:t>
            </w:r>
          </w:p>
        </w:tc>
      </w:tr>
    </w:tbl>
    <w:p>
      <w:pPr>
        <w:spacing w:after="0"/>
      </w:pPr>
    </w:p>
    <w:tbl>
      <w:tblPr>
        <w:tblW w:type="auto" w:w="0"/>
        <w:jc w:val="center"/>
        <w:tblLayout w:type="fixed"/>
        <w:tblLook w:firstColumn="1" w:firstRow="1" w:lastColumn="0" w:lastRow="0" w:noHBand="0" w:noVBand="1" w:val="04A0"/>
      </w:tblPr>
      <w:tblGrid>
        <w:gridCol w:w="9360"/>
      </w:tblGrid>
      <w:tr>
        <w:tc>
          <w:tcPr>
            <w:tcW w:type="dxa" w:w="9360"/>
            <w:shd w:fill="E9EFEA"/>
            <w:tcMar>
              <w:top w:w="190" w:type="dxa"/>
              <w:start w:w="220" w:type="dxa"/>
              <w:bottom w:w="190" w:type="dxa"/>
              <w:end w:w="220" w:type="dxa"/>
            </w:tcMar>
            <w:tcBorders>
              <w:top w:val="single" w:sz="6" w:color="E8D8BF"/>
              <w:left w:val="single" w:sz="6" w:color="E8D8BF"/>
              <w:bottom w:val="single" w:sz="6" w:color="E8D8BF"/>
              <w:right w:val="single" w:sz="6" w:color="E8D8BF"/>
            </w:tcBorders>
          </w:tcPr>
          <w:p>
            <w:pPr>
              <w:spacing w:after="60"/>
            </w:pPr>
            <w:r>
              <w:rPr>
                <w:rFonts w:ascii="Calibri" w:hAnsi="Calibri" w:eastAsia="Microsoft YaHei"/>
                <w:b/>
                <w:i w:val="0"/>
                <w:color w:val="173F35"/>
                <w:sz w:val="22"/>
              </w:rPr>
              <w:t>信息可得性</w:t>
            </w:r>
          </w:p>
          <w:p>
            <w:pPr>
              <w:spacing w:after="0" w:line="269" w:lineRule="auto"/>
            </w:pPr>
            <w:r>
              <w:rPr>
                <w:rFonts w:ascii="Calibri" w:hAnsi="Calibri" w:eastAsia="Microsoft YaHei"/>
                <w:b w:val="0"/>
                <w:i w:val="0"/>
                <w:color w:val="202823"/>
                <w:sz w:val="19"/>
              </w:rPr>
              <w:t>本报告中的省略主要源于首次披露阶段的数据系统不完整，而非认定相关议题不重要。公司已将关键缺口纳入 2026—2027 路线图。</w:t>
            </w:r>
          </w:p>
        </w:tc>
      </w:tr>
    </w:tbl>
    <w:p>
      <w:pPr>
        <w:spacing w:after="0"/>
      </w:pPr>
    </w:p>
    <w:p>
      <w:r>
        <w:br w:type="page"/>
      </w:r>
    </w:p>
    <w:p>
      <w:pPr>
        <w:spacing w:after="100"/>
      </w:pPr>
      <w:r>
        <w:rPr>
          <w:rFonts w:ascii="Calibri" w:hAnsi="Calibri" w:eastAsia="Microsoft YaHei"/>
          <w:b/>
          <w:i w:val="0"/>
          <w:color w:val="68452B"/>
          <w:sz w:val="17"/>
        </w:rPr>
        <w:t>METHODOLOGY</w:t>
      </w:r>
    </w:p>
    <w:p>
      <w:pPr>
        <w:pStyle w:val="Title"/>
        <w:spacing w:after="140"/>
      </w:pPr>
      <w:r>
        <w:rPr>
          <w:rFonts w:ascii="Calibri" w:hAnsi="Calibri" w:eastAsia="Microsoft YaHei"/>
          <w:b/>
          <w:i w:val="0"/>
          <w:color w:val="173F35"/>
          <w:sz w:val="48"/>
        </w:rPr>
        <w:t>方法、定义与外部参考</w:t>
      </w:r>
    </w:p>
    <w:p>
      <w:pPr>
        <w:spacing w:after="280"/>
      </w:pPr>
      <w:r>
        <w:rPr>
          <w:rFonts w:ascii="Calibri" w:hAnsi="Calibri" w:eastAsia="Microsoft YaHei"/>
          <w:b w:val="0"/>
          <w:i w:val="0"/>
          <w:color w:val="66706B"/>
          <w:sz w:val="21"/>
        </w:rPr>
        <w:t>保证数字可被正确理解</w:t>
      </w:r>
    </w:p>
    <w:p>
      <w:pPr>
        <w:pStyle w:val="Heading2"/>
        <w:keepNext/>
      </w:pPr>
      <w:r>
        <w:rPr>
          <w:rFonts w:ascii="Calibri" w:hAnsi="Calibri" w:eastAsia="Microsoft YaHei"/>
          <w:b/>
          <w:i w:val="0"/>
          <w:color w:val="68452B"/>
          <w:sz w:val="25"/>
        </w:rPr>
        <w:t>关键指标定义</w:t>
      </w:r>
    </w:p>
    <w:tbl>
      <w:tblPr>
        <w:tblW w:type="auto" w:w="0"/>
        <w:jc w:val="center"/>
        <w:tblLayout w:type="fixed"/>
        <w:tblLook w:firstColumn="1" w:firstRow="1" w:lastColumn="0" w:lastRow="0" w:noHBand="0" w:noVBand="1" w:val="04A0"/>
      </w:tblPr>
      <w:tblGrid>
        <w:gridCol w:w="3120"/>
        <w:gridCol w:w="3120"/>
        <w:gridCol w:w="3120"/>
      </w:tblGrid>
      <w:tr>
        <w:trPr>
          <w:tblHeader w:val="true"/>
        </w:trPr>
        <w:tc>
          <w:tcPr>
            <w:tcW w:type="dxa" w:w="1944"/>
            <w:shd w:fill="173F35"/>
            <w:tcMar>
              <w:top w:w="100" w:type="dxa"/>
              <w:start w:w="110" w:type="dxa"/>
              <w:bottom w:w="100" w:type="dxa"/>
              <w:end w:w="110" w:type="dxa"/>
            </w:tcMar>
            <w:tcBorders>
              <w:top w:val="single" w:sz="4" w:color="FFFFFF"/>
              <w:left w:val="single" w:sz="4" w:color="FFFFFF"/>
              <w:bottom w:val="single" w:sz="4" w:color="FFFFFF"/>
              <w:right w:val="single" w:sz="4" w:color="FFFFFF"/>
            </w:tcBorders>
          </w:tcPr>
          <w:p>
            <w:pPr>
              <w:spacing w:after="0"/>
            </w:pPr>
            <w:r>
              <w:rPr>
                <w:rFonts w:ascii="Calibri" w:hAnsi="Calibri" w:eastAsia="Microsoft YaHei"/>
                <w:b/>
                <w:i w:val="0"/>
                <w:color w:val="FFFFFF"/>
                <w:sz w:val="16"/>
              </w:rPr>
              <w:t>指标</w:t>
            </w:r>
          </w:p>
        </w:tc>
        <w:tc>
          <w:tcPr>
            <w:tcW w:type="dxa" w:w="4320"/>
            <w:shd w:fill="173F35"/>
            <w:tcMar>
              <w:top w:w="100" w:type="dxa"/>
              <w:start w:w="110" w:type="dxa"/>
              <w:bottom w:w="100" w:type="dxa"/>
              <w:end w:w="110" w:type="dxa"/>
            </w:tcMar>
            <w:tcBorders>
              <w:top w:val="single" w:sz="4" w:color="FFFFFF"/>
              <w:left w:val="single" w:sz="4" w:color="FFFFFF"/>
              <w:bottom w:val="single" w:sz="4" w:color="FFFFFF"/>
              <w:right w:val="single" w:sz="4" w:color="FFFFFF"/>
            </w:tcBorders>
          </w:tcPr>
          <w:p>
            <w:pPr>
              <w:spacing w:after="0"/>
            </w:pPr>
            <w:r>
              <w:rPr>
                <w:rFonts w:ascii="Calibri" w:hAnsi="Calibri" w:eastAsia="Microsoft YaHei"/>
                <w:b/>
                <w:i w:val="0"/>
                <w:color w:val="FFFFFF"/>
                <w:sz w:val="16"/>
              </w:rPr>
              <w:t>定义</w:t>
            </w:r>
          </w:p>
        </w:tc>
        <w:tc>
          <w:tcPr>
            <w:tcW w:type="dxa" w:w="3096"/>
            <w:shd w:fill="173F35"/>
            <w:tcMar>
              <w:top w:w="100" w:type="dxa"/>
              <w:start w:w="110" w:type="dxa"/>
              <w:bottom w:w="100" w:type="dxa"/>
              <w:end w:w="110" w:type="dxa"/>
            </w:tcMar>
            <w:tcBorders>
              <w:top w:val="single" w:sz="4" w:color="FFFFFF"/>
              <w:left w:val="single" w:sz="4" w:color="FFFFFF"/>
              <w:bottom w:val="single" w:sz="4" w:color="FFFFFF"/>
              <w:right w:val="single" w:sz="4" w:color="FFFFFF"/>
            </w:tcBorders>
          </w:tcPr>
          <w:p>
            <w:pPr>
              <w:spacing w:after="0"/>
            </w:pPr>
            <w:r>
              <w:rPr>
                <w:rFonts w:ascii="Calibri" w:hAnsi="Calibri" w:eastAsia="Microsoft YaHei"/>
                <w:b/>
                <w:i w:val="0"/>
                <w:color w:val="FFFFFF"/>
                <w:sz w:val="16"/>
              </w:rPr>
              <w:t>限制</w:t>
            </w:r>
          </w:p>
        </w:tc>
      </w:tr>
      <w:tr>
        <w:tc>
          <w:tcPr>
            <w:tcW w:type="dxa" w:w="1944"/>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营业收入</w:t>
            </w:r>
          </w:p>
        </w:tc>
        <w:tc>
          <w:tcPr>
            <w:tcW w:type="dxa" w:w="4320"/>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2024—2025 两年合计收入，人民币</w:t>
            </w:r>
          </w:p>
        </w:tc>
        <w:tc>
          <w:tcPr>
            <w:tcW w:type="dxa" w:w="3096"/>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未按年度拆分；非利润</w:t>
            </w:r>
          </w:p>
        </w:tc>
      </w:tr>
      <w:tr>
        <w:tc>
          <w:tcPr>
            <w:tcW w:type="dxa" w:w="1944"/>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瓶装替代当量</w:t>
            </w:r>
          </w:p>
        </w:tc>
        <w:tc>
          <w:tcPr>
            <w:tcW w:type="dxa" w:w="4320"/>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洗衣片销量按内部假设折算为 2.5 kg 瓶装洗衣液使用场景</w:t>
            </w:r>
          </w:p>
        </w:tc>
        <w:tc>
          <w:tcPr>
            <w:tcW w:type="dxa" w:w="3096"/>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不是实际回收或减少的瓶数；未换算塑料重量</w:t>
            </w:r>
          </w:p>
        </w:tc>
      </w:tr>
      <w:tr>
        <w:tc>
          <w:tcPr>
            <w:tcW w:type="dxa" w:w="1944"/>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少运输液体质量</w:t>
            </w:r>
          </w:p>
        </w:tc>
        <w:tc>
          <w:tcPr>
            <w:tcW w:type="dxa" w:w="4320"/>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固体产品替代液体产品后，公司估算少运输的液体产品质量</w:t>
            </w:r>
          </w:p>
        </w:tc>
        <w:tc>
          <w:tcPr>
            <w:tcW w:type="dxa" w:w="3096"/>
            <w:vAlign w:val="top"/>
            <w:shd w:fill="FFFFFF"/>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不含距离和排放因子；不是 CO2e</w:t>
            </w:r>
          </w:p>
        </w:tc>
      </w:tr>
      <w:tr>
        <w:tc>
          <w:tcPr>
            <w:tcW w:type="dxa" w:w="1944"/>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培训参与人数</w:t>
            </w:r>
          </w:p>
        </w:tc>
        <w:tc>
          <w:tcPr>
            <w:tcW w:type="dxa" w:w="4320"/>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至少参与一次公司就业准备培训的心智障碍青年人数</w:t>
            </w:r>
          </w:p>
        </w:tc>
        <w:tc>
          <w:tcPr>
            <w:tcW w:type="dxa" w:w="3096"/>
            <w:vAlign w:val="top"/>
            <w:shd w:fill="F7F3EB"/>
            <w:tcMar>
              <w:top w:w="90" w:type="dxa"/>
              <w:start w:w="110" w:type="dxa"/>
              <w:bottom w:w="90" w:type="dxa"/>
              <w:end w:w="110" w:type="dxa"/>
            </w:tcMar>
            <w:tcBorders>
              <w:top w:val="single" w:sz="3" w:color="D7D8D2"/>
              <w:left w:val="single" w:sz="3" w:color="D7D8D2"/>
              <w:bottom w:val="single" w:sz="3" w:color="D7D8D2"/>
              <w:right w:val="single" w:sz="3" w:color="D7D8D2"/>
            </w:tcBorders>
          </w:tcPr>
          <w:p>
            <w:pPr>
              <w:spacing w:after="0" w:line="245" w:lineRule="auto"/>
            </w:pPr>
            <w:r>
              <w:rPr>
                <w:rFonts w:ascii="Calibri" w:hAnsi="Calibri" w:eastAsia="Microsoft YaHei"/>
                <w:b w:val="0"/>
                <w:i w:val="0"/>
                <w:color w:val="202823"/>
                <w:sz w:val="16"/>
              </w:rPr>
              <w:t>不等同就业人数；未披露时数与后续结果</w:t>
            </w:r>
          </w:p>
        </w:tc>
      </w:tr>
    </w:tbl>
    <w:p>
      <w:pPr>
        <w:spacing w:after="0"/>
      </w:pPr>
    </w:p>
    <w:p>
      <w:pPr>
        <w:pStyle w:val="Heading2"/>
        <w:keepNext/>
      </w:pPr>
      <w:r>
        <w:rPr>
          <w:rFonts w:ascii="Calibri" w:hAnsi="Calibri" w:eastAsia="Microsoft YaHei"/>
          <w:b/>
          <w:i w:val="0"/>
          <w:color w:val="68452B"/>
          <w:sz w:val="25"/>
        </w:rPr>
        <w:t>外部参考</w:t>
      </w:r>
    </w:p>
    <w:p>
      <w:pPr>
        <w:spacing w:after="80"/>
      </w:pPr>
      <w:r>
        <w:rPr>
          <w:rFonts w:ascii="Calibri" w:hAnsi="Calibri" w:eastAsia="Microsoft YaHei"/>
          <w:b/>
          <w:i w:val="0"/>
          <w:color w:val="68452B"/>
          <w:sz w:val="17"/>
        </w:rPr>
        <w:t>全球报告倡议组织（GRI）｜</w:t>
      </w:r>
      <w:hyperlink r:id="rId12">
        <w:r>
          <w:rPr>
            <w:color w:val="173F35"/>
            <w:rFonts w:ascii="Calibri" w:hAnsi="Calibri" w:eastAsia="Microsoft YaHei"/>
          </w:rPr>
          <w:t>GRI 通用标准与主题标准</w:t>
        </w:r>
      </w:hyperlink>
    </w:p>
    <w:p>
      <w:pPr>
        <w:spacing w:after="80"/>
      </w:pPr>
      <w:r>
        <w:rPr>
          <w:rFonts w:ascii="Calibri" w:hAnsi="Calibri" w:eastAsia="Microsoft YaHei"/>
          <w:b/>
          <w:i w:val="0"/>
          <w:color w:val="68452B"/>
          <w:sz w:val="17"/>
        </w:rPr>
        <w:t>GRI｜</w:t>
      </w:r>
      <w:hyperlink r:id="rId13">
        <w:r>
          <w:rPr>
            <w:color w:val="173F35"/>
            <w:rFonts w:ascii="Calibri" w:hAnsi="Calibri" w:eastAsia="Microsoft YaHei"/>
          </w:rPr>
          <w:t>GRI 1: Foundation 2021</w:t>
        </w:r>
      </w:hyperlink>
    </w:p>
    <w:p>
      <w:pPr>
        <w:spacing w:after="80"/>
      </w:pPr>
      <w:r>
        <w:rPr>
          <w:rFonts w:ascii="Calibri" w:hAnsi="Calibri" w:eastAsia="Microsoft YaHei"/>
          <w:b/>
          <w:i w:val="0"/>
          <w:color w:val="68452B"/>
          <w:sz w:val="17"/>
        </w:rPr>
        <w:t>GRI｜</w:t>
      </w:r>
      <w:hyperlink r:id="rId14">
        <w:r>
          <w:rPr>
            <w:color w:val="173F35"/>
            <w:rFonts w:ascii="Calibri" w:hAnsi="Calibri" w:eastAsia="Microsoft YaHei"/>
          </w:rPr>
          <w:t>GRI 306: Waste 2020</w:t>
        </w:r>
      </w:hyperlink>
    </w:p>
    <w:p>
      <w:pPr>
        <w:spacing w:after="80"/>
      </w:pPr>
      <w:r>
        <w:rPr>
          <w:rFonts w:ascii="Calibri" w:hAnsi="Calibri" w:eastAsia="Microsoft YaHei"/>
          <w:b/>
          <w:i w:val="0"/>
          <w:color w:val="68452B"/>
          <w:sz w:val="17"/>
        </w:rPr>
        <w:t>UNFCCC｜</w:t>
      </w:r>
      <w:hyperlink r:id="rId15">
        <w:r>
          <w:rPr>
            <w:color w:val="173F35"/>
            <w:rFonts w:ascii="Calibri" w:hAnsi="Calibri" w:eastAsia="Microsoft YaHei"/>
          </w:rPr>
          <w:t>COP30 Belém, 10–21 November 2025</w:t>
        </w:r>
      </w:hyperlink>
    </w:p>
    <w:p>
      <w:pPr>
        <w:spacing w:after="80"/>
      </w:pPr>
      <w:r>
        <w:rPr>
          <w:rFonts w:ascii="Calibri" w:hAnsi="Calibri" w:eastAsia="Microsoft YaHei"/>
          <w:b/>
          <w:i w:val="0"/>
          <w:color w:val="68452B"/>
          <w:sz w:val="17"/>
        </w:rPr>
        <w:t>UNCCD｜</w:t>
      </w:r>
      <w:hyperlink r:id="rId16">
        <w:r>
          <w:rPr>
            <w:color w:val="173F35"/>
            <w:rFonts w:ascii="Calibri" w:hAnsi="Calibri" w:eastAsia="Microsoft YaHei"/>
          </w:rPr>
          <w:t>COP17 Ulaanbaatar, 17–28 August 2026</w:t>
        </w:r>
      </w:hyperlink>
    </w:p>
    <w:p>
      <w:pPr>
        <w:spacing w:after="80"/>
      </w:pPr>
      <w:r>
        <w:rPr>
          <w:rFonts w:ascii="Calibri" w:hAnsi="Calibri" w:eastAsia="Microsoft YaHei"/>
          <w:b/>
          <w:i w:val="0"/>
          <w:color w:val="68452B"/>
          <w:sz w:val="17"/>
        </w:rPr>
        <w:t>TED｜</w:t>
      </w:r>
      <w:hyperlink r:id="rId17">
        <w:r>
          <w:rPr>
            <w:color w:val="173F35"/>
            <w:rFonts w:ascii="Calibri" w:hAnsi="Calibri" w:eastAsia="Microsoft YaHei"/>
          </w:rPr>
          <w:t>TEDxSuzhou Countdown event page</w:t>
        </w:r>
      </w:hyperlink>
    </w:p>
    <w:p>
      <w:pPr>
        <w:spacing w:after="80"/>
      </w:pPr>
      <w:r>
        <w:rPr>
          <w:rFonts w:ascii="Calibri" w:hAnsi="Calibri" w:eastAsia="Microsoft YaHei"/>
          <w:b/>
          <w:i w:val="0"/>
          <w:color w:val="68452B"/>
          <w:sz w:val="17"/>
        </w:rPr>
        <w:t>全国标准信息公共服务平台｜</w:t>
      </w:r>
      <w:hyperlink r:id="rId18">
        <w:r>
          <w:rPr>
            <w:color w:val="173F35"/>
            <w:rFonts w:ascii="Calibri" w:hAnsi="Calibri" w:eastAsia="Microsoft YaHei"/>
          </w:rPr>
          <w:t>GB/T 13171.1-2022 洗衣粉 第1部分：技术要求</w:t>
        </w:r>
      </w:hyperlink>
    </w:p>
    <w:p>
      <w:pPr>
        <w:spacing w:after="80" w:line="264" w:lineRule="auto"/>
      </w:pPr>
      <w:r>
        <w:rPr>
          <w:rFonts w:ascii="Calibri" w:hAnsi="Calibri" w:eastAsia="Microsoft YaHei"/>
          <w:b w:val="0"/>
          <w:i w:val="0"/>
          <w:color w:val="66706B"/>
          <w:sz w:val="17"/>
        </w:rPr>
        <w:t>除上述公开资料外，营业收入、替代当量、运输质量、培训人数、赞助关系和礼赠场景均来自公司内部记录或公司陈述，未经第三方鉴证。</w:t>
      </w:r>
    </w:p>
    <w:p>
      <w:r>
        <w:br w:type="page"/>
      </w:r>
    </w:p>
    <w:p>
      <w:pPr>
        <w:spacing w:before="1400"/>
        <w:jc w:val="center"/>
      </w:pPr>
      <w:r>
        <w:drawing>
          <wp:inline xmlns:a="http://schemas.openxmlformats.org/drawingml/2006/main" xmlns:pic="http://schemas.openxmlformats.org/drawingml/2006/picture">
            <wp:extent cx="2057400" cy="685800"/>
            <wp:docPr id="2" name="Picture 2"/>
            <wp:cNvGraphicFramePr>
              <a:graphicFrameLocks noChangeAspect="1"/>
            </wp:cNvGraphicFramePr>
            <a:graphic>
              <a:graphicData uri="http://schemas.openxmlformats.org/drawingml/2006/picture">
                <pic:pic>
                  <pic:nvPicPr>
                    <pic:cNvPr id="0" name="tuzhi-logo-transparent.png"/>
                    <pic:cNvPicPr/>
                  </pic:nvPicPr>
                  <pic:blipFill>
                    <a:blip r:embed="rId11"/>
                    <a:stretch>
                      <a:fillRect/>
                    </a:stretch>
                  </pic:blipFill>
                  <pic:spPr>
                    <a:xfrm>
                      <a:off x="0" y="0"/>
                      <a:ext cx="2057400" cy="685800"/>
                    </a:xfrm>
                    <a:prstGeom prst="rect"/>
                  </pic:spPr>
                </pic:pic>
              </a:graphicData>
            </a:graphic>
          </wp:inline>
        </w:drawing>
      </w:r>
    </w:p>
    <w:p>
      <w:pPr>
        <w:spacing w:before="320"/>
        <w:jc w:val="center"/>
      </w:pPr>
      <w:r>
        <w:rPr>
          <w:rFonts w:ascii="Calibri" w:hAnsi="Calibri" w:eastAsia="Microsoft YaHei"/>
          <w:b/>
          <w:i w:val="0"/>
          <w:color w:val="173F35"/>
          <w:sz w:val="36"/>
        </w:rPr>
        <w:t>让清洁回到日常，也回到自然的尺度</w:t>
      </w:r>
    </w:p>
    <w:p>
      <w:pPr>
        <w:spacing w:before="240"/>
        <w:jc w:val="center"/>
      </w:pPr>
      <w:r>
        <w:rPr>
          <w:rFonts w:ascii="Calibri" w:hAnsi="Calibri" w:eastAsia="Microsoft YaHei"/>
          <w:b w:val="0"/>
          <w:i w:val="0"/>
          <w:color w:val="68452B"/>
          <w:sz w:val="20"/>
        </w:rPr>
        <w:t>吐枝 Twiggy 2024—2025 可持续发展报告</w:t>
      </w:r>
    </w:p>
    <w:p>
      <w:pPr>
        <w:jc w:val="center"/>
      </w:pPr>
      <w:hyperlink r:id="rId19">
        <w:r>
          <w:rPr>
            <w:color w:val="173F35"/>
            <w:rFonts w:ascii="Calibri" w:hAnsi="Calibri" w:eastAsia="Microsoft YaHei"/>
          </w:rPr>
          <w:t>www.twiggylife.com</w:t>
        </w:r>
      </w:hyperlink>
    </w:p>
    <w:sectPr w:rsidR="00FC693F" w:rsidRPr="0006063C" w:rsidSect="00034616">
      <w:headerReference w:type="default" r:id="rId9"/>
      <w:footerReference w:type="default" r:id="rId10"/>
      <w:pgSz w:w="12240" w:h="15840"/>
      <w:pgMar w:top="1123" w:right="1440" w:bottom="1037" w:left="1440" w:header="461"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eastAsia="Microsoft YaHei"/>
        <w:color w:val="66706B"/>
        <w:sz w:val="17"/>
      </w:rPr>
      <w:t xml:space="preserve">PAGE </w:t>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Calibri" w:hAnsi="Calibri" w:eastAsia="Microsoft YaHei"/>
        <w:b/>
        <w:i w:val="0"/>
        <w:color w:val="66706B"/>
        <w:sz w:val="15"/>
      </w:rPr>
      <w:t>吐枝 TWIGGY  ·  2024—2025 可持续发展报告</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eastAsia="Microsoft YaHei"/>
      <w:color w:val="20282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40" w:after="100"/>
      <w:outlineLvl w:val="0"/>
    </w:pPr>
    <w:rPr>
      <w:rFonts w:asciiTheme="majorHAnsi" w:eastAsiaTheme="majorEastAsia" w:hAnsiTheme="majorHAnsi" w:cstheme="majorBidi" w:ascii="Calibri" w:hAnsi="Calibri" w:eastAsia="Microsoft YaHei"/>
      <w:b/>
      <w:bCs/>
      <w:color w:val="173F35"/>
      <w:sz w:val="32"/>
      <w:szCs w:val="28"/>
    </w:rPr>
  </w:style>
  <w:style w:type="paragraph" w:styleId="Heading2">
    <w:name w:val="heading 2"/>
    <w:basedOn w:val="Normal"/>
    <w:next w:val="Normal"/>
    <w:link w:val="Heading2Char"/>
    <w:uiPriority w:val="9"/>
    <w:unhideWhenUsed/>
    <w:qFormat/>
    <w:rsid w:val="00FC693F"/>
    <w:pPr>
      <w:keepNext/>
      <w:keepLines/>
      <w:spacing w:before="140" w:after="100"/>
      <w:outlineLvl w:val="1"/>
    </w:pPr>
    <w:rPr>
      <w:rFonts w:asciiTheme="majorHAnsi" w:eastAsiaTheme="majorEastAsia" w:hAnsiTheme="majorHAnsi" w:cstheme="majorBidi" w:ascii="Calibri" w:hAnsi="Calibri" w:eastAsia="Microsoft YaHei"/>
      <w:b/>
      <w:bCs/>
      <w:color w:val="68452B"/>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00" w:line="240" w:lineRule="auto" w:before="0"/>
      <w:contextualSpacing/>
    </w:pPr>
    <w:rPr>
      <w:rFonts w:asciiTheme="majorHAnsi" w:eastAsiaTheme="majorEastAsia" w:hAnsiTheme="majorHAnsi" w:cstheme="majorBidi" w:ascii="Calibri" w:hAnsi="Calibri" w:eastAsia="Microsoft YaHei"/>
      <w:b/>
      <w:color w:val="173F35"/>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globalreporting.org/standards/" TargetMode="External"/><Relationship Id="rId13" Type="http://schemas.openxmlformats.org/officeDocument/2006/relationships/hyperlink" Target="https://www.globalreporting.org/publications/documents/english/gri-1-foundation-2021/" TargetMode="External"/><Relationship Id="rId14" Type="http://schemas.openxmlformats.org/officeDocument/2006/relationships/hyperlink" Target="https://www.globalreporting.org/publications/documents/english/gri-306-waste-2020/" TargetMode="External"/><Relationship Id="rId15" Type="http://schemas.openxmlformats.org/officeDocument/2006/relationships/hyperlink" Target="https://unfccc.int/cop30" TargetMode="External"/><Relationship Id="rId16" Type="http://schemas.openxmlformats.org/officeDocument/2006/relationships/hyperlink" Target="https://www.unccd.int/cop17" TargetMode="External"/><Relationship Id="rId17" Type="http://schemas.openxmlformats.org/officeDocument/2006/relationships/hyperlink" Target="https://www.ted.com/tedx/events/59133" TargetMode="External"/><Relationship Id="rId18" Type="http://schemas.openxmlformats.org/officeDocument/2006/relationships/hyperlink" Target="https://std.samr.gov.cn/" TargetMode="External"/><Relationship Id="rId19" Type="http://schemas.openxmlformats.org/officeDocument/2006/relationships/hyperlink" Target="https://www.twiggylif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吐枝 Twiggy 2024—2025 可持续发展报告（GRI参照版）</dc:title>
  <dc:subject>经济、环境与社会影响披露</dc:subject>
  <dc:creator>成都植念科技有限公司 / 吐枝 Twiggy</dc:creator>
  <cp:keywords>吐枝,Twiggy,可持续发展,GRI,洗衣片,植物基洗涤,社会企业</cp:keywords>
  <dc:description>generated by python-docx</dc:description>
  <cp:lastModifiedBy/>
  <cp:revision>1</cp:revision>
  <dcterms:created xsi:type="dcterms:W3CDTF">2013-12-23T23:15:00Z</dcterms:created>
  <dcterms:modified xsi:type="dcterms:W3CDTF">2013-12-23T23:15:00Z</dcterms:modified>
  <cp:category/>
</cp:coreProperties>
</file>